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667AE" w14:textId="641B5A52" w:rsidR="00C439A3" w:rsidRDefault="008A5176" w:rsidP="008A5176">
      <w:pPr>
        <w:jc w:val="center"/>
      </w:pPr>
      <w:bookmarkStart w:id="0" w:name="_GoBack"/>
      <w:bookmarkEnd w:id="0"/>
      <w:r w:rsidRPr="008A5176">
        <w:rPr>
          <w:noProof/>
          <w:lang w:eastAsia="en-GB"/>
        </w:rPr>
        <w:drawing>
          <wp:inline distT="0" distB="0" distL="0" distR="0" wp14:anchorId="0864E3B8" wp14:editId="3E50DEC3">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E539FFD" w14:textId="77777777" w:rsidR="008A5176" w:rsidRDefault="008A5176">
      <w:pPr>
        <w:jc w:val="right"/>
      </w:pPr>
    </w:p>
    <w:p w14:paraId="76143EDF" w14:textId="3DAC1CD3" w:rsidR="00C439A3" w:rsidRDefault="00C439A3" w:rsidP="34DACF98">
      <w:pPr>
        <w:pStyle w:val="CoverText"/>
        <w:spacing w:line="259" w:lineRule="auto"/>
        <w:jc w:val="left"/>
        <w:rPr>
          <w:sz w:val="20"/>
          <w:u w:val="none"/>
        </w:rPr>
      </w:pPr>
      <w:r w:rsidRPr="34DACF98">
        <w:t xml:space="preserve">Neutral Citation Number: [2019] EWHC </w:t>
      </w:r>
      <w:r w:rsidR="001D27F1">
        <w:t>1484</w:t>
      </w:r>
      <w:r w:rsidRPr="34DACF98">
        <w:t xml:space="preserve"> (Admin)</w:t>
      </w:r>
      <w:r w:rsidR="008A5176">
        <w:rPr>
          <w:bCs/>
        </w:rPr>
        <w:t xml:space="preserve"> </w:t>
      </w:r>
      <w:r>
        <w:rPr>
          <w:bCs/>
        </w:rPr>
        <w:br/>
      </w:r>
    </w:p>
    <w:p w14:paraId="01BCE7DA" w14:textId="77777777" w:rsidR="00C439A3" w:rsidRDefault="00C439A3">
      <w:pPr>
        <w:pStyle w:val="CoverText"/>
        <w:rPr>
          <w:b/>
          <w:spacing w:val="-3"/>
        </w:rPr>
      </w:pPr>
      <w:r>
        <w:t xml:space="preserve">Case No: </w:t>
      </w:r>
      <w:r w:rsidR="004B15FC">
        <w:t>CO/491/2019</w:t>
      </w:r>
    </w:p>
    <w:p w14:paraId="47174CF8" w14:textId="1096E161"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IN THE </w:t>
      </w:r>
      <w:r w:rsidR="004546C8">
        <w:t>DIVISIONAL COURT</w:t>
      </w:r>
    </w:p>
    <w:p w14:paraId="63F09777" w14:textId="340F4D40"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8844D2E" w14:textId="0C3C70D3" w:rsidR="00C439A3" w:rsidRDefault="004546C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An Application </w:t>
      </w:r>
      <w:r w:rsidR="006610E8">
        <w:t>For</w:t>
      </w:r>
      <w:r>
        <w:t xml:space="preserve"> </w:t>
      </w:r>
      <w:r w:rsidR="000D163A">
        <w:t>Judicial Review</w:t>
      </w:r>
    </w:p>
    <w:p w14:paraId="1691A8CB" w14:textId="77777777" w:rsidR="00C439A3" w:rsidRDefault="00C439A3">
      <w:pPr>
        <w:pStyle w:val="CoverText"/>
      </w:pPr>
      <w:r>
        <w:t>Royal Courts of Justice</w:t>
      </w:r>
    </w:p>
    <w:p w14:paraId="6D05275F" w14:textId="77777777" w:rsidR="00C439A3" w:rsidRDefault="00C439A3">
      <w:pPr>
        <w:pStyle w:val="CoverText"/>
      </w:pPr>
      <w:r>
        <w:t>Strand, London, WC2A 2LL</w:t>
      </w:r>
    </w:p>
    <w:p w14:paraId="79C4471E" w14:textId="77777777" w:rsidR="00C439A3" w:rsidRDefault="00C439A3">
      <w:pPr>
        <w:suppressAutoHyphens/>
        <w:jc w:val="right"/>
        <w:rPr>
          <w:spacing w:val="-3"/>
          <w:u w:val="single"/>
        </w:rPr>
      </w:pPr>
    </w:p>
    <w:p w14:paraId="79E94168" w14:textId="69823A0E" w:rsidR="00C439A3" w:rsidRDefault="00C439A3">
      <w:pPr>
        <w:pStyle w:val="CoverText"/>
        <w:rPr>
          <w:b/>
        </w:rPr>
      </w:pPr>
      <w:r>
        <w:t xml:space="preserve">Date: </w:t>
      </w:r>
      <w:r w:rsidR="008A5176">
        <w:t>13/06/2019</w:t>
      </w:r>
    </w:p>
    <w:p w14:paraId="047F2833" w14:textId="20A6BB4C" w:rsidR="00C439A3" w:rsidRDefault="00C439A3">
      <w:pPr>
        <w:suppressAutoHyphens/>
        <w:jc w:val="center"/>
        <w:rPr>
          <w:b/>
          <w:spacing w:val="-3"/>
        </w:rPr>
      </w:pPr>
      <w:r>
        <w:rPr>
          <w:b/>
          <w:spacing w:val="-3"/>
        </w:rPr>
        <w:t>Before:</w:t>
      </w:r>
    </w:p>
    <w:p w14:paraId="1D35D1EB" w14:textId="77777777" w:rsidR="00C439A3" w:rsidRDefault="00C439A3">
      <w:pPr>
        <w:suppressAutoHyphens/>
        <w:jc w:val="center"/>
        <w:rPr>
          <w:spacing w:val="-3"/>
        </w:rPr>
      </w:pPr>
    </w:p>
    <w:p w14:paraId="34C2F059" w14:textId="77777777" w:rsidR="00C439A3" w:rsidRDefault="009A12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COULSON</w:t>
      </w:r>
    </w:p>
    <w:p w14:paraId="358B6737"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40037D80" w14:textId="243D4CCC" w:rsidR="00C439A3" w:rsidRDefault="005E0C3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MR </w:t>
      </w:r>
      <w:r w:rsidR="008A5176">
        <w:t>JUSTICE ANDREW BAKER</w:t>
      </w:r>
    </w:p>
    <w:p w14:paraId="60F26D24" w14:textId="77777777" w:rsidR="00C439A3" w:rsidRDefault="00C439A3">
      <w:pPr>
        <w:suppressAutoHyphens/>
        <w:jc w:val="center"/>
        <w:rPr>
          <w:spacing w:val="-3"/>
        </w:rPr>
      </w:pPr>
      <w:r>
        <w:rPr>
          <w:spacing w:val="-3"/>
        </w:rPr>
        <w:t>- - - - - - - - - - - - - - - - - - - - -</w:t>
      </w:r>
    </w:p>
    <w:p w14:paraId="4F51EF85" w14:textId="07F94589" w:rsidR="00C439A3" w:rsidRDefault="00C439A3">
      <w:pPr>
        <w:suppressAutoHyphens/>
        <w:jc w:val="center"/>
        <w:rPr>
          <w:b/>
          <w:spacing w:val="-3"/>
        </w:rPr>
      </w:pPr>
      <w:r>
        <w:rPr>
          <w:b/>
          <w:spacing w:val="-3"/>
        </w:rPr>
        <w:t>Between:</w:t>
      </w:r>
    </w:p>
    <w:p w14:paraId="155E9B4F"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4DDF7EEC" w14:textId="77777777">
        <w:tc>
          <w:tcPr>
            <w:tcW w:w="1314" w:type="dxa"/>
          </w:tcPr>
          <w:p w14:paraId="6978DEF1" w14:textId="77777777" w:rsidR="00C439A3" w:rsidRDefault="00C439A3">
            <w:pPr>
              <w:suppressAutoHyphens/>
              <w:rPr>
                <w:b/>
                <w:spacing w:val="-3"/>
              </w:rPr>
            </w:pPr>
          </w:p>
        </w:tc>
        <w:tc>
          <w:tcPr>
            <w:tcW w:w="6210" w:type="dxa"/>
          </w:tcPr>
          <w:p w14:paraId="5D0DBB0F" w14:textId="77777777" w:rsidR="00C439A3" w:rsidRDefault="009A1238">
            <w:pPr>
              <w:suppressAutoHyphens/>
              <w:jc w:val="center"/>
              <w:rPr>
                <w:b/>
                <w:spacing w:val="-3"/>
              </w:rPr>
            </w:pPr>
            <w:r>
              <w:rPr>
                <w:b/>
                <w:spacing w:val="-3"/>
              </w:rPr>
              <w:t xml:space="preserve">R On the application of </w:t>
            </w:r>
          </w:p>
          <w:p w14:paraId="72CE23C9" w14:textId="11571064" w:rsidR="009A1238" w:rsidRDefault="009A1238">
            <w:pPr>
              <w:suppressAutoHyphens/>
              <w:jc w:val="center"/>
              <w:rPr>
                <w:b/>
                <w:spacing w:val="-3"/>
              </w:rPr>
            </w:pPr>
            <w:r>
              <w:rPr>
                <w:b/>
                <w:spacing w:val="-3"/>
              </w:rPr>
              <w:t>E</w:t>
            </w:r>
            <w:r w:rsidR="00C315F0">
              <w:rPr>
                <w:b/>
                <w:spacing w:val="-3"/>
              </w:rPr>
              <w:t>RIC AND JUNE CARTER</w:t>
            </w:r>
          </w:p>
        </w:tc>
        <w:tc>
          <w:tcPr>
            <w:tcW w:w="1440" w:type="dxa"/>
          </w:tcPr>
          <w:p w14:paraId="693FC117" w14:textId="77777777" w:rsidR="00C439A3" w:rsidRDefault="009A12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Claimants</w:t>
            </w:r>
          </w:p>
        </w:tc>
      </w:tr>
      <w:tr w:rsidR="00C439A3" w14:paraId="08804788" w14:textId="77777777">
        <w:tc>
          <w:tcPr>
            <w:tcW w:w="1314" w:type="dxa"/>
          </w:tcPr>
          <w:p w14:paraId="12150F56" w14:textId="77777777" w:rsidR="00C439A3" w:rsidRDefault="00C439A3">
            <w:pPr>
              <w:suppressAutoHyphens/>
              <w:rPr>
                <w:b/>
                <w:spacing w:val="-3"/>
              </w:rPr>
            </w:pPr>
          </w:p>
        </w:tc>
        <w:tc>
          <w:tcPr>
            <w:tcW w:w="6210" w:type="dxa"/>
          </w:tcPr>
          <w:p w14:paraId="4CFA036C" w14:textId="77777777" w:rsidR="00C439A3" w:rsidRDefault="00C439A3">
            <w:pPr>
              <w:tabs>
                <w:tab w:val="center" w:pos="3312"/>
              </w:tabs>
              <w:suppressAutoHyphens/>
              <w:jc w:val="center"/>
              <w:rPr>
                <w:b/>
                <w:spacing w:val="-3"/>
              </w:rPr>
            </w:pPr>
            <w:r>
              <w:rPr>
                <w:b/>
                <w:spacing w:val="-3"/>
              </w:rPr>
              <w:t>- and -</w:t>
            </w:r>
          </w:p>
        </w:tc>
        <w:tc>
          <w:tcPr>
            <w:tcW w:w="1440" w:type="dxa"/>
          </w:tcPr>
          <w:p w14:paraId="2E623461" w14:textId="77777777" w:rsidR="00C439A3" w:rsidRDefault="00C439A3">
            <w:pPr>
              <w:suppressAutoHyphens/>
              <w:jc w:val="right"/>
              <w:rPr>
                <w:b/>
                <w:spacing w:val="-3"/>
              </w:rPr>
            </w:pPr>
          </w:p>
        </w:tc>
      </w:tr>
      <w:tr w:rsidR="00C439A3" w14:paraId="21EC6E3E" w14:textId="77777777">
        <w:tc>
          <w:tcPr>
            <w:tcW w:w="1314" w:type="dxa"/>
          </w:tcPr>
          <w:p w14:paraId="3C44DB29" w14:textId="77777777" w:rsidR="00C439A3" w:rsidRDefault="00C439A3">
            <w:pPr>
              <w:suppressAutoHyphens/>
              <w:rPr>
                <w:b/>
                <w:spacing w:val="-3"/>
              </w:rPr>
            </w:pPr>
          </w:p>
        </w:tc>
        <w:tc>
          <w:tcPr>
            <w:tcW w:w="6210" w:type="dxa"/>
          </w:tcPr>
          <w:p w14:paraId="38989AEC" w14:textId="41C20C6B" w:rsidR="00C439A3" w:rsidRDefault="009A1238">
            <w:pPr>
              <w:tabs>
                <w:tab w:val="center" w:pos="3312"/>
              </w:tabs>
              <w:suppressAutoHyphens/>
              <w:jc w:val="center"/>
              <w:rPr>
                <w:b/>
                <w:spacing w:val="-3"/>
              </w:rPr>
            </w:pPr>
            <w:r>
              <w:rPr>
                <w:b/>
                <w:spacing w:val="-3"/>
              </w:rPr>
              <w:t>C</w:t>
            </w:r>
            <w:r w:rsidR="00C315F0">
              <w:rPr>
                <w:b/>
                <w:spacing w:val="-3"/>
              </w:rPr>
              <w:t>HELMSFORD CROWN COURT</w:t>
            </w:r>
            <w:r>
              <w:rPr>
                <w:b/>
                <w:spacing w:val="-3"/>
              </w:rPr>
              <w:t xml:space="preserve"> </w:t>
            </w:r>
          </w:p>
        </w:tc>
        <w:tc>
          <w:tcPr>
            <w:tcW w:w="1440" w:type="dxa"/>
          </w:tcPr>
          <w:p w14:paraId="517C2035" w14:textId="77777777" w:rsidR="00C439A3" w:rsidRDefault="009A12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w:t>
            </w:r>
            <w:r w:rsidR="00C439A3">
              <w:t>e</w:t>
            </w:r>
            <w:r>
              <w:t>fenda</w:t>
            </w:r>
            <w:r w:rsidR="00C439A3">
              <w:t>nt</w:t>
            </w:r>
          </w:p>
        </w:tc>
      </w:tr>
    </w:tbl>
    <w:p w14:paraId="064E03F6" w14:textId="6A040F06" w:rsidR="00C439A3" w:rsidRDefault="00C315F0" w:rsidP="00C315F0">
      <w:pPr>
        <w:suppressAutoHyphens/>
        <w:jc w:val="center"/>
        <w:rPr>
          <w:b/>
          <w:spacing w:val="-3"/>
        </w:rPr>
      </w:pPr>
      <w:r>
        <w:rPr>
          <w:b/>
          <w:spacing w:val="-3"/>
        </w:rPr>
        <w:t>-and-</w:t>
      </w:r>
    </w:p>
    <w:p w14:paraId="38C145D4" w14:textId="2FD3E8CD" w:rsidR="00C315F0" w:rsidRDefault="00C315F0" w:rsidP="00C315F0">
      <w:pPr>
        <w:suppressAutoHyphens/>
        <w:ind w:left="567" w:firstLine="567"/>
        <w:rPr>
          <w:b/>
          <w:spacing w:val="-3"/>
        </w:rPr>
      </w:pPr>
      <w:r>
        <w:rPr>
          <w:b/>
          <w:spacing w:val="-3"/>
        </w:rPr>
        <w:t xml:space="preserve">          (1) THE CHIEF CONSTABLE OF ESSEX POLICE      </w:t>
      </w:r>
      <w:r>
        <w:rPr>
          <w:b/>
          <w:spacing w:val="-3"/>
        </w:rPr>
        <w:tab/>
        <w:t xml:space="preserve">       </w:t>
      </w:r>
      <w:r w:rsidRPr="00C315F0">
        <w:rPr>
          <w:b/>
          <w:spacing w:val="-3"/>
          <w:u w:val="single"/>
        </w:rPr>
        <w:t>Interested</w:t>
      </w:r>
      <w:r>
        <w:rPr>
          <w:b/>
          <w:spacing w:val="-3"/>
        </w:rPr>
        <w:t xml:space="preserve"> </w:t>
      </w:r>
    </w:p>
    <w:p w14:paraId="759F59D2" w14:textId="686543DD" w:rsidR="00C315F0" w:rsidRDefault="00C315F0" w:rsidP="00D0394A">
      <w:pPr>
        <w:suppressAutoHyphens/>
        <w:ind w:left="426"/>
        <w:rPr>
          <w:b/>
          <w:spacing w:val="-3"/>
        </w:rPr>
      </w:pPr>
      <w:r>
        <w:rPr>
          <w:b/>
          <w:spacing w:val="-3"/>
        </w:rPr>
        <w:t xml:space="preserve">(2) THE SECRETARY OF STATE FOR THE </w:t>
      </w:r>
      <w:r w:rsidR="005E0C3A">
        <w:rPr>
          <w:b/>
          <w:spacing w:val="-3"/>
        </w:rPr>
        <w:t xml:space="preserve">HOME DEPARTMENT </w:t>
      </w:r>
      <w:r>
        <w:rPr>
          <w:b/>
          <w:spacing w:val="-3"/>
        </w:rPr>
        <w:t xml:space="preserve">         </w:t>
      </w:r>
      <w:r w:rsidRPr="00C315F0">
        <w:rPr>
          <w:b/>
          <w:spacing w:val="-3"/>
          <w:u w:val="single"/>
        </w:rPr>
        <w:t>Parties</w:t>
      </w:r>
    </w:p>
    <w:p w14:paraId="79FABA1F" w14:textId="3609CEE4" w:rsidR="00C439A3" w:rsidRDefault="00C315F0" w:rsidP="005E0C3A">
      <w:pPr>
        <w:suppressAutoHyphens/>
        <w:ind w:left="1701"/>
        <w:rPr>
          <w:spacing w:val="-3"/>
        </w:rPr>
      </w:pPr>
      <w:r>
        <w:rPr>
          <w:b/>
          <w:spacing w:val="-3"/>
        </w:rPr>
        <w:t xml:space="preserve">      </w:t>
      </w:r>
      <w:r w:rsidR="005E0C3A">
        <w:rPr>
          <w:b/>
          <w:spacing w:val="-3"/>
        </w:rPr>
        <w:t xml:space="preserve">                   </w:t>
      </w:r>
      <w:r w:rsidR="00C439A3">
        <w:rPr>
          <w:spacing w:val="-3"/>
        </w:rPr>
        <w:t>- - - - - - - - - - - - - - - - - - - - -</w:t>
      </w:r>
    </w:p>
    <w:p w14:paraId="22C33B96" w14:textId="77777777" w:rsidR="00C439A3" w:rsidRDefault="00C439A3">
      <w:pPr>
        <w:suppressAutoHyphens/>
        <w:jc w:val="center"/>
        <w:rPr>
          <w:spacing w:val="-3"/>
        </w:rPr>
      </w:pPr>
      <w:r>
        <w:rPr>
          <w:spacing w:val="-3"/>
        </w:rPr>
        <w:t>- - - - - - - - - - - - - - - - - - - - -</w:t>
      </w:r>
    </w:p>
    <w:p w14:paraId="36D1BAF1" w14:textId="77777777" w:rsidR="00C439A3" w:rsidRDefault="00C439A3">
      <w:pPr>
        <w:suppressAutoHyphens/>
        <w:jc w:val="center"/>
        <w:rPr>
          <w:spacing w:val="-3"/>
        </w:rPr>
      </w:pPr>
    </w:p>
    <w:p w14:paraId="019E696E" w14:textId="7B14BE9B" w:rsidR="005E0C3A" w:rsidRDefault="005E0C3A">
      <w:pPr>
        <w:suppressAutoHyphens/>
        <w:jc w:val="center"/>
        <w:rPr>
          <w:bCs/>
          <w:spacing w:val="-3"/>
        </w:rPr>
      </w:pPr>
      <w:r>
        <w:rPr>
          <w:b/>
          <w:spacing w:val="-3"/>
        </w:rPr>
        <w:t>Mr Chris Buttler</w:t>
      </w:r>
      <w:r w:rsidR="00C439A3">
        <w:rPr>
          <w:bCs/>
          <w:spacing w:val="-3"/>
        </w:rPr>
        <w:t xml:space="preserve"> (instructed by </w:t>
      </w:r>
      <w:r w:rsidR="00D15814" w:rsidRPr="00D15814">
        <w:rPr>
          <w:b/>
          <w:bCs/>
          <w:spacing w:val="-3"/>
        </w:rPr>
        <w:t>Slater Gordon</w:t>
      </w:r>
      <w:r w:rsidR="00C439A3">
        <w:rPr>
          <w:bCs/>
          <w:spacing w:val="-3"/>
        </w:rPr>
        <w:t xml:space="preserve">) </w:t>
      </w:r>
      <w:r>
        <w:rPr>
          <w:bCs/>
          <w:spacing w:val="-3"/>
        </w:rPr>
        <w:t xml:space="preserve">on behalf of the </w:t>
      </w:r>
      <w:r w:rsidR="004238AB">
        <w:rPr>
          <w:bCs/>
          <w:spacing w:val="-3"/>
        </w:rPr>
        <w:t>C</w:t>
      </w:r>
      <w:r>
        <w:rPr>
          <w:bCs/>
          <w:spacing w:val="-3"/>
        </w:rPr>
        <w:t xml:space="preserve">laimants   </w:t>
      </w:r>
    </w:p>
    <w:p w14:paraId="26FD7409" w14:textId="0DBF6FFA" w:rsidR="00C439A3" w:rsidRDefault="005E0C3A">
      <w:pPr>
        <w:suppressAutoHyphens/>
        <w:jc w:val="center"/>
        <w:rPr>
          <w:bCs/>
          <w:spacing w:val="-3"/>
        </w:rPr>
      </w:pPr>
      <w:r>
        <w:rPr>
          <w:bCs/>
          <w:spacing w:val="-3"/>
        </w:rPr>
        <w:t xml:space="preserve">The </w:t>
      </w:r>
      <w:r w:rsidR="004238AB">
        <w:rPr>
          <w:bCs/>
          <w:spacing w:val="-3"/>
        </w:rPr>
        <w:t>D</w:t>
      </w:r>
      <w:r>
        <w:rPr>
          <w:bCs/>
          <w:spacing w:val="-3"/>
        </w:rPr>
        <w:t>efendant did not appear and was not represented</w:t>
      </w:r>
    </w:p>
    <w:p w14:paraId="000FFB6C" w14:textId="177EFAFC" w:rsidR="005E0C3A" w:rsidRDefault="005E0C3A">
      <w:pPr>
        <w:suppressAutoHyphens/>
        <w:jc w:val="center"/>
        <w:rPr>
          <w:bCs/>
          <w:spacing w:val="-3"/>
        </w:rPr>
      </w:pPr>
      <w:r>
        <w:rPr>
          <w:b/>
          <w:spacing w:val="-3"/>
        </w:rPr>
        <w:t xml:space="preserve">Mr Simon Forshaw </w:t>
      </w:r>
      <w:r w:rsidR="00C439A3">
        <w:rPr>
          <w:bCs/>
          <w:spacing w:val="-3"/>
        </w:rPr>
        <w:t>(instructed by</w:t>
      </w:r>
      <w:r w:rsidR="00C439A3">
        <w:rPr>
          <w:b/>
          <w:spacing w:val="-3"/>
        </w:rPr>
        <w:t xml:space="preserve"> </w:t>
      </w:r>
      <w:r w:rsidR="00F32A40">
        <w:rPr>
          <w:b/>
          <w:spacing w:val="-3"/>
        </w:rPr>
        <w:t>Essex Police</w:t>
      </w:r>
      <w:r w:rsidR="00C439A3">
        <w:rPr>
          <w:bCs/>
          <w:spacing w:val="-3"/>
        </w:rPr>
        <w:t xml:space="preserve">) for the </w:t>
      </w:r>
      <w:r w:rsidR="004238AB">
        <w:rPr>
          <w:bCs/>
          <w:spacing w:val="-3"/>
        </w:rPr>
        <w:t>F</w:t>
      </w:r>
      <w:r>
        <w:rPr>
          <w:bCs/>
          <w:spacing w:val="-3"/>
        </w:rPr>
        <w:t xml:space="preserve">irst </w:t>
      </w:r>
      <w:r w:rsidR="004238AB">
        <w:rPr>
          <w:bCs/>
          <w:spacing w:val="-3"/>
        </w:rPr>
        <w:t>I</w:t>
      </w:r>
      <w:r>
        <w:rPr>
          <w:bCs/>
          <w:spacing w:val="-3"/>
        </w:rPr>
        <w:t xml:space="preserve">nterested </w:t>
      </w:r>
      <w:r w:rsidR="004238AB">
        <w:rPr>
          <w:bCs/>
          <w:spacing w:val="-3"/>
        </w:rPr>
        <w:t>P</w:t>
      </w:r>
      <w:r>
        <w:rPr>
          <w:bCs/>
          <w:spacing w:val="-3"/>
        </w:rPr>
        <w:t>arty</w:t>
      </w:r>
    </w:p>
    <w:p w14:paraId="645957DB" w14:textId="2BDA61B8" w:rsidR="00C439A3" w:rsidRDefault="005E0C3A">
      <w:pPr>
        <w:suppressAutoHyphens/>
        <w:jc w:val="center"/>
        <w:rPr>
          <w:bCs/>
          <w:spacing w:val="-3"/>
        </w:rPr>
      </w:pPr>
      <w:r w:rsidRPr="005E0C3A">
        <w:rPr>
          <w:b/>
          <w:bCs/>
          <w:spacing w:val="-3"/>
        </w:rPr>
        <w:t>Mr Keith Bryant</w:t>
      </w:r>
      <w:r w:rsidR="00F12D99">
        <w:rPr>
          <w:b/>
          <w:bCs/>
          <w:spacing w:val="-3"/>
        </w:rPr>
        <w:t xml:space="preserve"> QC</w:t>
      </w:r>
      <w:r>
        <w:rPr>
          <w:bCs/>
          <w:spacing w:val="-3"/>
        </w:rPr>
        <w:t xml:space="preserve"> </w:t>
      </w:r>
      <w:r>
        <w:t xml:space="preserve">(instructed by the </w:t>
      </w:r>
      <w:r w:rsidRPr="0012773F">
        <w:rPr>
          <w:b/>
        </w:rPr>
        <w:t>Government Legal Department</w:t>
      </w:r>
      <w:r>
        <w:t xml:space="preserve">) </w:t>
      </w:r>
      <w:r>
        <w:rPr>
          <w:bCs/>
          <w:spacing w:val="-3"/>
        </w:rPr>
        <w:t xml:space="preserve">for the </w:t>
      </w:r>
      <w:r w:rsidR="004238AB">
        <w:rPr>
          <w:bCs/>
          <w:spacing w:val="-3"/>
        </w:rPr>
        <w:t>S</w:t>
      </w:r>
      <w:r>
        <w:rPr>
          <w:bCs/>
          <w:spacing w:val="-3"/>
        </w:rPr>
        <w:t xml:space="preserve">econd </w:t>
      </w:r>
      <w:r w:rsidR="004238AB">
        <w:rPr>
          <w:bCs/>
          <w:spacing w:val="-3"/>
        </w:rPr>
        <w:t>I</w:t>
      </w:r>
      <w:r>
        <w:rPr>
          <w:bCs/>
          <w:spacing w:val="-3"/>
        </w:rPr>
        <w:t xml:space="preserve">nterested </w:t>
      </w:r>
      <w:r w:rsidR="004238AB">
        <w:rPr>
          <w:bCs/>
          <w:spacing w:val="-3"/>
        </w:rPr>
        <w:t>P</w:t>
      </w:r>
      <w:r>
        <w:rPr>
          <w:bCs/>
          <w:spacing w:val="-3"/>
        </w:rPr>
        <w:t>arty</w:t>
      </w:r>
    </w:p>
    <w:p w14:paraId="528C5D8D" w14:textId="77777777" w:rsidR="00C439A3" w:rsidRDefault="00C439A3">
      <w:pPr>
        <w:suppressAutoHyphens/>
        <w:jc w:val="center"/>
        <w:rPr>
          <w:b/>
          <w:spacing w:val="-3"/>
        </w:rPr>
      </w:pPr>
    </w:p>
    <w:p w14:paraId="6DEDC0C3" w14:textId="63674C49" w:rsidR="00C439A3" w:rsidRDefault="009A1238">
      <w:pPr>
        <w:suppressAutoHyphens/>
        <w:jc w:val="center"/>
        <w:rPr>
          <w:spacing w:val="-3"/>
        </w:rPr>
      </w:pPr>
      <w:r>
        <w:rPr>
          <w:spacing w:val="-3"/>
        </w:rPr>
        <w:t xml:space="preserve">Hearing </w:t>
      </w:r>
      <w:r w:rsidR="0012773F">
        <w:rPr>
          <w:spacing w:val="-3"/>
        </w:rPr>
        <w:t>D</w:t>
      </w:r>
      <w:r>
        <w:rPr>
          <w:spacing w:val="-3"/>
        </w:rPr>
        <w:t>ate</w:t>
      </w:r>
      <w:r w:rsidR="00C439A3">
        <w:rPr>
          <w:spacing w:val="-3"/>
        </w:rPr>
        <w:t xml:space="preserve">: </w:t>
      </w:r>
      <w:r>
        <w:rPr>
          <w:spacing w:val="-3"/>
        </w:rPr>
        <w:t>23</w:t>
      </w:r>
      <w:r w:rsidRPr="009A1238">
        <w:rPr>
          <w:spacing w:val="-3"/>
          <w:vertAlign w:val="superscript"/>
        </w:rPr>
        <w:t>rd</w:t>
      </w:r>
      <w:r>
        <w:rPr>
          <w:spacing w:val="-3"/>
        </w:rPr>
        <w:t xml:space="preserve"> May 2019</w:t>
      </w:r>
    </w:p>
    <w:p w14:paraId="5508F12C" w14:textId="77777777" w:rsidR="00C439A3" w:rsidRDefault="00C439A3">
      <w:pPr>
        <w:suppressAutoHyphens/>
        <w:jc w:val="center"/>
        <w:rPr>
          <w:spacing w:val="-3"/>
        </w:rPr>
      </w:pPr>
      <w:r>
        <w:rPr>
          <w:spacing w:val="-3"/>
        </w:rPr>
        <w:t>- - - - - - - - - - - - - - - - - - - - -</w:t>
      </w:r>
    </w:p>
    <w:p w14:paraId="01B15981" w14:textId="77777777" w:rsidR="008A5176" w:rsidRDefault="008A5176" w:rsidP="008A5176">
      <w:pPr>
        <w:pStyle w:val="CoverDesc"/>
      </w:pPr>
    </w:p>
    <w:p w14:paraId="061E627A" w14:textId="77777777" w:rsidR="008A5176" w:rsidRDefault="008A5176" w:rsidP="008A5176">
      <w:pPr>
        <w:pStyle w:val="CoverDesc"/>
      </w:pPr>
    </w:p>
    <w:p w14:paraId="53191A65" w14:textId="08BE4309" w:rsidR="00C439A3" w:rsidRDefault="008A5176" w:rsidP="008A5176">
      <w:pPr>
        <w:pStyle w:val="CoverDesc"/>
      </w:pPr>
      <w:r>
        <w:t>Approved Judgment</w:t>
      </w:r>
    </w:p>
    <w:p w14:paraId="051686BC" w14:textId="77777777" w:rsidR="00C439A3" w:rsidRDefault="00C439A3">
      <w:pPr>
        <w:pStyle w:val="CoverDesc"/>
        <w:rPr>
          <w:sz w:val="24"/>
        </w:rPr>
      </w:pPr>
    </w:p>
    <w:p w14:paraId="408485BC" w14:textId="77777777" w:rsidR="008A5176" w:rsidRDefault="008A5176">
      <w:pPr>
        <w:spacing w:after="240"/>
        <w:rPr>
          <w:b/>
        </w:rPr>
      </w:pPr>
    </w:p>
    <w:p w14:paraId="000CFFEB" w14:textId="49956ABB" w:rsidR="00C439A3" w:rsidRDefault="008A5176">
      <w:pPr>
        <w:spacing w:after="240"/>
      </w:pPr>
      <w:r>
        <w:rPr>
          <w:b/>
        </w:rPr>
        <w:lastRenderedPageBreak/>
        <w:t>Lord Justice Coulson</w:t>
      </w:r>
      <w:r w:rsidR="00C439A3">
        <w:rPr>
          <w:b/>
        </w:rPr>
        <w:t xml:space="preserve"> :</w:t>
      </w:r>
      <w:r w:rsidR="00C439A3">
        <w:t xml:space="preserve"> </w:t>
      </w:r>
    </w:p>
    <w:p w14:paraId="0D75F503" w14:textId="0508496E" w:rsidR="00F12D99" w:rsidRPr="00F12D99" w:rsidRDefault="00F12D99">
      <w:pPr>
        <w:spacing w:after="240"/>
        <w:rPr>
          <w:b/>
          <w:u w:val="single"/>
        </w:rPr>
        <w:sectPr w:rsidR="00F12D99" w:rsidRPr="00F12D99">
          <w:headerReference w:type="default" r:id="rId9"/>
          <w:pgSz w:w="11906" w:h="16838" w:code="9"/>
          <w:pgMar w:top="1440" w:right="1440" w:bottom="1440" w:left="1440" w:header="709" w:footer="709" w:gutter="0"/>
          <w:cols w:space="708"/>
          <w:docGrid w:linePitch="360"/>
        </w:sectPr>
      </w:pPr>
      <w:r>
        <w:rPr>
          <w:b/>
          <w:u w:val="single"/>
        </w:rPr>
        <w:t>1 Introduction</w:t>
      </w:r>
    </w:p>
    <w:p w14:paraId="2EABCF73" w14:textId="3C5CD0AB" w:rsidR="00F12D99" w:rsidRDefault="00F12D99" w:rsidP="008A5176">
      <w:pPr>
        <w:pStyle w:val="ParaLevel1"/>
      </w:pPr>
      <w:r>
        <w:t xml:space="preserve">This </w:t>
      </w:r>
      <w:r w:rsidR="00103B7D">
        <w:t>matter</w:t>
      </w:r>
      <w:r>
        <w:t xml:space="preserve"> came before </w:t>
      </w:r>
      <w:r w:rsidR="00A01AEB">
        <w:t xml:space="preserve">the </w:t>
      </w:r>
      <w:r>
        <w:t xml:space="preserve">Divisional Court </w:t>
      </w:r>
      <w:r w:rsidR="00E37B57">
        <w:t>on 23 May</w:t>
      </w:r>
      <w:r w:rsidR="00BC3DB9">
        <w:t xml:space="preserve">, </w:t>
      </w:r>
      <w:r>
        <w:t xml:space="preserve">after a long and </w:t>
      </w:r>
      <w:r w:rsidR="00BC1088">
        <w:t xml:space="preserve">rather </w:t>
      </w:r>
      <w:r>
        <w:t>tort</w:t>
      </w:r>
      <w:r w:rsidR="00BC1088">
        <w:t>u</w:t>
      </w:r>
      <w:r>
        <w:t xml:space="preserve">ous journey. At the end of the hearing, we explained why the underlying appeal in this case was jurisdictionally </w:t>
      </w:r>
      <w:r w:rsidR="00EE1A29">
        <w:t>flawed</w:t>
      </w:r>
      <w:r w:rsidR="001069B8">
        <w:t>,</w:t>
      </w:r>
      <w:r w:rsidR="00EE1A29">
        <w:t xml:space="preserve"> and</w:t>
      </w:r>
      <w:r>
        <w:t xml:space="preserve"> set out directions by which it is hoped that the right issue can be decided by the appropriate court</w:t>
      </w:r>
      <w:r w:rsidR="001069B8">
        <w:t xml:space="preserve"> in an efficient manner</w:t>
      </w:r>
      <w:r>
        <w:t>. However, because the</w:t>
      </w:r>
      <w:r w:rsidR="006C3D2F">
        <w:t>re</w:t>
      </w:r>
      <w:r w:rsidR="00A866BF">
        <w:t xml:space="preserve"> was</w:t>
      </w:r>
      <w:r>
        <w:t xml:space="preserve"> a point of wider application under the Police Pensions Regulations 1987</w:t>
      </w:r>
      <w:r w:rsidR="00895475">
        <w:t xml:space="preserve"> (“the Regulations”)</w:t>
      </w:r>
      <w:r>
        <w:t xml:space="preserve">, we indicated that we would provide </w:t>
      </w:r>
      <w:r w:rsidR="001069B8">
        <w:t>the</w:t>
      </w:r>
      <w:r>
        <w:t xml:space="preserve"> reasons</w:t>
      </w:r>
      <w:r w:rsidR="00A866BF">
        <w:t xml:space="preserve"> for our decision</w:t>
      </w:r>
      <w:r>
        <w:t xml:space="preserve"> in writing. That is the purpose of this short judgment.</w:t>
      </w:r>
    </w:p>
    <w:p w14:paraId="16385623" w14:textId="478ACC46" w:rsidR="00B37DF1" w:rsidRDefault="00B37DF1" w:rsidP="008A5176">
      <w:pPr>
        <w:pStyle w:val="ParaLevel1"/>
      </w:pPr>
      <w:r>
        <w:t xml:space="preserve">I deal with the issues in the following way. In Section 2 I set out the factual background; in Section 3 I outline the decision of the Crown Court; and in Section 4 I set out the current proceedings for judicial review. Thereafter, in Section 5, I deal with the fundamental issue as to whether this was ever a </w:t>
      </w:r>
      <w:r w:rsidR="00A0268B">
        <w:t>properly constituted</w:t>
      </w:r>
      <w:r>
        <w:t xml:space="preserve"> appeal under Regulation H5(</w:t>
      </w:r>
      <w:r w:rsidR="00895475">
        <w:t>1</w:t>
      </w:r>
      <w:r>
        <w:t>) of the Regulations. In Section 6</w:t>
      </w:r>
      <w:r w:rsidR="00710E7E">
        <w:t>,</w:t>
      </w:r>
      <w:r>
        <w:t xml:space="preserve"> I set out the next steps that were, by the end of the hearing on 23 May, </w:t>
      </w:r>
      <w:r w:rsidR="00A0268B">
        <w:t xml:space="preserve">the </w:t>
      </w:r>
      <w:r>
        <w:t xml:space="preserve">subject </w:t>
      </w:r>
      <w:r w:rsidR="00A0268B">
        <w:t>of</w:t>
      </w:r>
      <w:r>
        <w:t xml:space="preserve"> general agreement between the parties and the court.</w:t>
      </w:r>
    </w:p>
    <w:p w14:paraId="1A6E89F7" w14:textId="77777777" w:rsidR="00B37DF1" w:rsidRDefault="00B37DF1" w:rsidP="008A5176">
      <w:pPr>
        <w:pStyle w:val="ParaLevel1"/>
        <w:numPr>
          <w:ilvl w:val="0"/>
          <w:numId w:val="0"/>
        </w:numPr>
        <w:rPr>
          <w:b/>
          <w:u w:val="single"/>
        </w:rPr>
      </w:pPr>
      <w:r>
        <w:rPr>
          <w:b/>
          <w:u w:val="single"/>
        </w:rPr>
        <w:t>2 The Factual Background</w:t>
      </w:r>
    </w:p>
    <w:p w14:paraId="3F16D005" w14:textId="5BC018DA" w:rsidR="005E0C3A" w:rsidRDefault="00B37DF1" w:rsidP="008A5176">
      <w:pPr>
        <w:pStyle w:val="ParaLevel1"/>
      </w:pPr>
      <w:r>
        <w:t xml:space="preserve">The first claimant, Mr </w:t>
      </w:r>
      <w:r w:rsidR="00D869D9">
        <w:t xml:space="preserve">Eric Carter, is </w:t>
      </w:r>
      <w:r w:rsidR="00503DFC">
        <w:t xml:space="preserve">plainly a remarkable man. He is </w:t>
      </w:r>
      <w:r w:rsidR="00D869D9">
        <w:t xml:space="preserve">a </w:t>
      </w:r>
      <w:r w:rsidR="004F2FF4">
        <w:t>95-year-old</w:t>
      </w:r>
      <w:r w:rsidR="00D869D9">
        <w:t xml:space="preserve"> D-D</w:t>
      </w:r>
      <w:r>
        <w:t>ay</w:t>
      </w:r>
      <w:r w:rsidR="008A1241">
        <w:t xml:space="preserve"> veteran </w:t>
      </w:r>
      <w:r w:rsidR="00710E7E">
        <w:t>who</w:t>
      </w:r>
      <w:r w:rsidR="008A1241">
        <w:t xml:space="preserve"> saw action at Sword Beach on 6 June 1944.</w:t>
      </w:r>
      <w:r w:rsidR="00D869D9">
        <w:t xml:space="preserve"> He </w:t>
      </w:r>
      <w:r w:rsidR="001D4153">
        <w:t xml:space="preserve">subsequently </w:t>
      </w:r>
      <w:r w:rsidR="00D869D9">
        <w:t xml:space="preserve">became a police officer and </w:t>
      </w:r>
      <w:r w:rsidR="001D4153">
        <w:t>has been</w:t>
      </w:r>
      <w:r w:rsidR="00D869D9">
        <w:t xml:space="preserve"> entitled to a police pension</w:t>
      </w:r>
      <w:r w:rsidR="001D4153">
        <w:t xml:space="preserve"> for many years</w:t>
      </w:r>
      <w:r w:rsidR="00D869D9">
        <w:t xml:space="preserve">. He married the second claimant, Mrs June Carter, after he had retired. She is now 91. </w:t>
      </w:r>
    </w:p>
    <w:p w14:paraId="0A1B68AA" w14:textId="3EF1006A" w:rsidR="00D869D9" w:rsidRDefault="00D869D9" w:rsidP="008A5176">
      <w:pPr>
        <w:pStyle w:val="ParaLevel1"/>
      </w:pPr>
      <w:r>
        <w:t>On the face of Regulation C5(3) (and Part IV of Schedule C t</w:t>
      </w:r>
      <w:r w:rsidR="00A57391">
        <w:t>o the Regulations</w:t>
      </w:r>
      <w:r>
        <w:t>)</w:t>
      </w:r>
      <w:r w:rsidR="00A57391">
        <w:t>,</w:t>
      </w:r>
      <w:r>
        <w:t xml:space="preserve"> in the event that her husband predecease</w:t>
      </w:r>
      <w:r w:rsidR="00510A59">
        <w:t>s</w:t>
      </w:r>
      <w:r>
        <w:t xml:space="preserve"> her</w:t>
      </w:r>
      <w:r w:rsidR="00046BE8">
        <w:t xml:space="preserve">, Mrs Carter </w:t>
      </w:r>
      <w:r w:rsidR="00BB423E">
        <w:t>will</w:t>
      </w:r>
      <w:r w:rsidR="00046BE8">
        <w:t xml:space="preserve"> not </w:t>
      </w:r>
      <w:r w:rsidR="00BB423E">
        <w:t xml:space="preserve">be </w:t>
      </w:r>
      <w:r w:rsidR="00046BE8">
        <w:t xml:space="preserve">entitled to a </w:t>
      </w:r>
      <w:r w:rsidR="0000575E">
        <w:t xml:space="preserve">widow’s </w:t>
      </w:r>
      <w:r w:rsidR="00046BE8">
        <w:t>pension</w:t>
      </w:r>
      <w:r>
        <w:t xml:space="preserve">. </w:t>
      </w:r>
      <w:r w:rsidR="00046BE8">
        <w:t xml:space="preserve">This </w:t>
      </w:r>
      <w:r w:rsidR="00BB423E">
        <w:t>is</w:t>
      </w:r>
      <w:r w:rsidR="00046BE8">
        <w:t xml:space="preserve"> because </w:t>
      </w:r>
      <w:r w:rsidR="00852FCE">
        <w:t>Mr Carter</w:t>
      </w:r>
      <w:r w:rsidR="00046BE8">
        <w:t xml:space="preserve"> married </w:t>
      </w:r>
      <w:r w:rsidR="00852FCE">
        <w:t xml:space="preserve">her after he retired. </w:t>
      </w:r>
      <w:r w:rsidR="00554856">
        <w:t xml:space="preserve">A suggestion that this </w:t>
      </w:r>
      <w:r w:rsidR="00745383">
        <w:t>is</w:t>
      </w:r>
      <w:r w:rsidR="00554856">
        <w:t xml:space="preserve"> unfair</w:t>
      </w:r>
      <w:r>
        <w:t xml:space="preserve"> was taken up on behalf of the Carters with Essex Police, the first interested party. </w:t>
      </w:r>
      <w:r w:rsidR="00625F73">
        <w:t>On 2 February 2018, Essex Police wrote to the Carters’ solicitors explaining in detail how and why</w:t>
      </w:r>
      <w:r w:rsidR="00441419">
        <w:t xml:space="preserve"> </w:t>
      </w:r>
      <w:r w:rsidR="00625F73">
        <w:t>the Police Pension Scheme did not provide for a pension for Mrs Carter</w:t>
      </w:r>
      <w:r w:rsidR="00340E72">
        <w:t>, and resisting the suggestion of unfairness</w:t>
      </w:r>
      <w:r w:rsidR="00A57D62">
        <w:t xml:space="preserve">. </w:t>
      </w:r>
      <w:r w:rsidR="00625F73">
        <w:t xml:space="preserve"> </w:t>
      </w:r>
    </w:p>
    <w:p w14:paraId="55B37770" w14:textId="77B03326" w:rsidR="00705E71" w:rsidRDefault="00A57D62" w:rsidP="008A5176">
      <w:pPr>
        <w:pStyle w:val="ParaLevel1"/>
      </w:pPr>
      <w:r>
        <w:t xml:space="preserve">Those advising the </w:t>
      </w:r>
      <w:r w:rsidR="00705E71">
        <w:t xml:space="preserve">Carters originally brought a claim in the Employment Tribunal (which claim was in fact started </w:t>
      </w:r>
      <w:r w:rsidR="00683EF2">
        <w:t>prior to</w:t>
      </w:r>
      <w:r w:rsidR="00705E71">
        <w:t xml:space="preserve"> the letter of 2 February 2018). Apparently</w:t>
      </w:r>
      <w:r w:rsidR="00683EF2">
        <w:t>,</w:t>
      </w:r>
      <w:r w:rsidR="00705E71">
        <w:t xml:space="preserve"> those proceedings </w:t>
      </w:r>
      <w:r w:rsidR="00B61A93">
        <w:t>were</w:t>
      </w:r>
      <w:r w:rsidR="00BC0307">
        <w:t xml:space="preserve"> then</w:t>
      </w:r>
      <w:r w:rsidR="00705E71">
        <w:t xml:space="preserve"> stayed</w:t>
      </w:r>
      <w:r w:rsidR="00C62088">
        <w:t xml:space="preserve"> and, i</w:t>
      </w:r>
      <w:r w:rsidR="00705E71">
        <w:t>nstead, the Carters lo</w:t>
      </w:r>
      <w:r w:rsidR="00C62088">
        <w:t>d</w:t>
      </w:r>
      <w:r w:rsidR="00705E71">
        <w:t xml:space="preserve">ged a notice of appeal in the Chelmsford Crown Court, </w:t>
      </w:r>
      <w:r w:rsidR="00BC0307">
        <w:t xml:space="preserve">pursuant to </w:t>
      </w:r>
      <w:r w:rsidR="00705E71">
        <w:t>Regulation H5(</w:t>
      </w:r>
      <w:r w:rsidR="00FA4809">
        <w:t>1</w:t>
      </w:r>
      <w:r w:rsidR="00705E71">
        <w:t>). Th</w:t>
      </w:r>
      <w:r w:rsidR="00852FCE">
        <w:t>at and other</w:t>
      </w:r>
      <w:r w:rsidR="00705E71">
        <w:t xml:space="preserve"> relevant Regulations are set out in Section 5 below.</w:t>
      </w:r>
    </w:p>
    <w:p w14:paraId="7A7BB430" w14:textId="3F353530" w:rsidR="00A57D62" w:rsidRDefault="00705E71" w:rsidP="008A5176">
      <w:pPr>
        <w:pStyle w:val="ParaLevel1"/>
        <w:numPr>
          <w:ilvl w:val="0"/>
          <w:numId w:val="0"/>
        </w:numPr>
        <w:rPr>
          <w:b/>
          <w:u w:val="single"/>
        </w:rPr>
      </w:pPr>
      <w:r w:rsidRPr="00705E71">
        <w:rPr>
          <w:b/>
          <w:u w:val="single"/>
        </w:rPr>
        <w:t xml:space="preserve">3 The </w:t>
      </w:r>
      <w:r>
        <w:rPr>
          <w:b/>
          <w:u w:val="single"/>
        </w:rPr>
        <w:t>Decision of the Crown Court</w:t>
      </w:r>
    </w:p>
    <w:p w14:paraId="77464C20" w14:textId="7F0DDDF0" w:rsidR="00705E71" w:rsidRDefault="00705E71" w:rsidP="008A5176">
      <w:pPr>
        <w:pStyle w:val="ParaLevel1"/>
      </w:pPr>
      <w:r>
        <w:t xml:space="preserve">The argument put forward in the Crown Court on behalf of the Carters was to the effect that the Regulations should be ‘read down’ in such a way as to make them compatible with the Human Rights Act (and therefore Convention rights) and/or the </w:t>
      </w:r>
      <w:r w:rsidR="00042D50">
        <w:t xml:space="preserve">EU </w:t>
      </w:r>
      <w:r>
        <w:t xml:space="preserve">Framework Directive. It was said that, </w:t>
      </w:r>
      <w:r w:rsidR="00F4241E">
        <w:t xml:space="preserve">to act in compliance with </w:t>
      </w:r>
      <w:r>
        <w:t>either the Convention or the Dir</w:t>
      </w:r>
      <w:r w:rsidR="00FA4809">
        <w:t xml:space="preserve">ective </w:t>
      </w:r>
      <w:r w:rsidR="000F47E3">
        <w:t xml:space="preserve">required </w:t>
      </w:r>
      <w:r w:rsidR="00FA4809">
        <w:t xml:space="preserve">Regulation C5(3) </w:t>
      </w:r>
      <w:r w:rsidR="000F47E3">
        <w:t>to</w:t>
      </w:r>
      <w:r w:rsidR="00FA4809">
        <w:t xml:space="preserve"> be disapplied. </w:t>
      </w:r>
    </w:p>
    <w:p w14:paraId="7F09C4CA" w14:textId="3E5B6C35" w:rsidR="00617B98" w:rsidRDefault="00FA4809" w:rsidP="008A5176">
      <w:pPr>
        <w:pStyle w:val="ParaLevel1"/>
      </w:pPr>
      <w:r>
        <w:t xml:space="preserve">The </w:t>
      </w:r>
      <w:r w:rsidR="00F47E55">
        <w:t xml:space="preserve">Crown Court </w:t>
      </w:r>
      <w:r>
        <w:t>hearing took three days</w:t>
      </w:r>
      <w:r w:rsidR="00F47E55">
        <w:t>. There was live evidence and</w:t>
      </w:r>
      <w:r w:rsidR="00B7122C">
        <w:t xml:space="preserve"> five </w:t>
      </w:r>
      <w:r w:rsidR="00662BDF">
        <w:t xml:space="preserve">lever arch files of material. But at </w:t>
      </w:r>
      <w:r w:rsidR="00297C30">
        <w:t>the</w:t>
      </w:r>
      <w:r w:rsidR="00662BDF">
        <w:t xml:space="preserve"> outset</w:t>
      </w:r>
      <w:r w:rsidR="00297C30">
        <w:t xml:space="preserve"> of the hearing</w:t>
      </w:r>
      <w:r w:rsidR="00662BDF">
        <w:t xml:space="preserve">, the Crown Court judge (HHJ Morgan), </w:t>
      </w:r>
      <w:r w:rsidR="00662BDF">
        <w:lastRenderedPageBreak/>
        <w:t xml:space="preserve">who was sitting with two lay magistrates, raised as a preliminary issue “whether the appeal procedure as set out in the Regulations was the appropriate procedure, given the discrimination HR issues raised.” </w:t>
      </w:r>
      <w:r w:rsidR="00B15F15">
        <w:t>T</w:t>
      </w:r>
      <w:r w:rsidR="00662BDF">
        <w:t xml:space="preserve">here was </w:t>
      </w:r>
      <w:r w:rsidR="00B15F15">
        <w:t xml:space="preserve">some </w:t>
      </w:r>
      <w:r w:rsidR="00662BDF">
        <w:t>argument on this point</w:t>
      </w:r>
      <w:r w:rsidR="001F3CCA">
        <w:t>, Mr Buttler submitt</w:t>
      </w:r>
      <w:r w:rsidR="00150BC5">
        <w:t>ing</w:t>
      </w:r>
      <w:r w:rsidR="001F3CCA">
        <w:t xml:space="preserve"> on behalf of the Carters that the hearing should proceed.</w:t>
      </w:r>
      <w:r w:rsidR="00B15F15">
        <w:t xml:space="preserve"> Although that is what happened</w:t>
      </w:r>
      <w:r w:rsidR="00617B98">
        <w:t>, it is quite clear that the</w:t>
      </w:r>
      <w:r w:rsidR="00600AE5">
        <w:t xml:space="preserve"> judges</w:t>
      </w:r>
      <w:r w:rsidR="00617B98">
        <w:t xml:space="preserve"> remained concerned </w:t>
      </w:r>
      <w:r w:rsidR="00150BC5">
        <w:t>about</w:t>
      </w:r>
      <w:r w:rsidR="00617B98">
        <w:t xml:space="preserve"> this critical issue.</w:t>
      </w:r>
    </w:p>
    <w:p w14:paraId="422680ED" w14:textId="277FDCFD" w:rsidR="00983853" w:rsidRDefault="00617B98" w:rsidP="008A5176">
      <w:pPr>
        <w:pStyle w:val="ParaLevel1"/>
      </w:pPr>
      <w:r>
        <w:t xml:space="preserve">That </w:t>
      </w:r>
      <w:r w:rsidR="00600AE5">
        <w:t xml:space="preserve">disquiet </w:t>
      </w:r>
      <w:r>
        <w:t>can be seen from the</w:t>
      </w:r>
      <w:r w:rsidR="00600AE5">
        <w:t>ir</w:t>
      </w:r>
      <w:r w:rsidR="00150BC5">
        <w:t xml:space="preserve"> eventual</w:t>
      </w:r>
      <w:r>
        <w:t xml:space="preserve"> judgment dated 16 November 2018. Having set out how, </w:t>
      </w:r>
      <w:r w:rsidR="00983853">
        <w:t xml:space="preserve">on their face, the Regulations operated to deny Mrs Carter a pension if her husband should predecease her, the Crown Court deliberately avoided answering </w:t>
      </w:r>
      <w:r w:rsidR="00B159F8">
        <w:t xml:space="preserve">what appeared to be </w:t>
      </w:r>
      <w:r w:rsidR="00983853">
        <w:t>the central question. Instead they said:</w:t>
      </w:r>
    </w:p>
    <w:p w14:paraId="758EA22C" w14:textId="13336D07" w:rsidR="006E7223" w:rsidRDefault="00983853" w:rsidP="008A5176">
      <w:pPr>
        <w:pStyle w:val="ParaLevel1"/>
        <w:numPr>
          <w:ilvl w:val="0"/>
          <w:numId w:val="0"/>
        </w:numPr>
        <w:ind w:left="1134" w:right="567"/>
      </w:pPr>
      <w:r>
        <w:t xml:space="preserve">“Mr Buttler invited us, </w:t>
      </w:r>
      <w:r w:rsidR="004130B5">
        <w:t xml:space="preserve">where we concluded that we had no ‘jurisdiction’ to make such an order, </w:t>
      </w:r>
      <w:r w:rsidR="00C55735">
        <w:t>or</w:t>
      </w:r>
      <w:r w:rsidR="004130B5">
        <w:t xml:space="preserve"> those considerations</w:t>
      </w:r>
      <w:r w:rsidR="00CB1ECE">
        <w:t>…</w:t>
      </w:r>
      <w:r w:rsidR="004130B5">
        <w:t xml:space="preserve">do not make it just to do so, to go on and consider whether to disapply the rule against </w:t>
      </w:r>
      <w:r w:rsidR="00CB1ECE">
        <w:t>widow’s</w:t>
      </w:r>
      <w:r w:rsidR="004130B5">
        <w:t xml:space="preserve"> pensions for post-retirement spouses pursuant to the Human Rights Act 1998 </w:t>
      </w:r>
      <w:r w:rsidR="006E7223">
        <w:t>and/or direct</w:t>
      </w:r>
      <w:r w:rsidR="0029024E">
        <w:t>ive</w:t>
      </w:r>
      <w:r w:rsidR="006E7223">
        <w:t xml:space="preserve"> 2000/78/EC.</w:t>
      </w:r>
    </w:p>
    <w:p w14:paraId="435E5824" w14:textId="62C54292" w:rsidR="00FA4809" w:rsidRDefault="00B210CD" w:rsidP="008A5176">
      <w:pPr>
        <w:pStyle w:val="ParaLevel1"/>
        <w:numPr>
          <w:ilvl w:val="0"/>
          <w:numId w:val="0"/>
        </w:numPr>
        <w:ind w:left="1134" w:right="567"/>
      </w:pPr>
      <w:r>
        <w:t xml:space="preserve">We decline to do so as we feel </w:t>
      </w:r>
      <w:r w:rsidR="009A0A32">
        <w:t xml:space="preserve">(a) that it is beyond the intended ‘jurisdiction’ of </w:t>
      </w:r>
      <w:r w:rsidR="001648BC">
        <w:t xml:space="preserve">an appeal brought pursuant to Regulation H5 </w:t>
      </w:r>
      <w:r w:rsidR="00672CBE">
        <w:t xml:space="preserve">and </w:t>
      </w:r>
      <w:r w:rsidR="001648BC">
        <w:t xml:space="preserve">(b) beyond our experience and expertise. As to (a) we are clear that Regulation H5 </w:t>
      </w:r>
      <w:r w:rsidR="00672CBE">
        <w:t>limits</w:t>
      </w:r>
      <w:r w:rsidR="001648BC">
        <w:t xml:space="preserve"> us to considering whether a person has ‘a claim to receive as of right an award’.</w:t>
      </w:r>
      <w:r w:rsidR="00CD23CA">
        <w:t>”</w:t>
      </w:r>
    </w:p>
    <w:p w14:paraId="6A578763" w14:textId="335FD49E" w:rsidR="001648BC" w:rsidRDefault="001648BC" w:rsidP="008A5176">
      <w:pPr>
        <w:pStyle w:val="ParaLevel1"/>
        <w:numPr>
          <w:ilvl w:val="0"/>
          <w:numId w:val="0"/>
        </w:numPr>
        <w:rPr>
          <w:b/>
          <w:u w:val="single"/>
        </w:rPr>
      </w:pPr>
      <w:r>
        <w:rPr>
          <w:b/>
          <w:u w:val="single"/>
        </w:rPr>
        <w:t>4</w:t>
      </w:r>
      <w:r w:rsidRPr="00705E71">
        <w:rPr>
          <w:b/>
          <w:u w:val="single"/>
        </w:rPr>
        <w:t xml:space="preserve"> </w:t>
      </w:r>
      <w:r>
        <w:rPr>
          <w:b/>
          <w:u w:val="single"/>
        </w:rPr>
        <w:t>Judicial Review Proceedings</w:t>
      </w:r>
    </w:p>
    <w:p w14:paraId="2991EA8D" w14:textId="2D09F993" w:rsidR="00EC72EE" w:rsidRDefault="001648BC" w:rsidP="008A5176">
      <w:pPr>
        <w:pStyle w:val="ParaLevel1"/>
      </w:pPr>
      <w:r>
        <w:t xml:space="preserve">The Carters were </w:t>
      </w:r>
      <w:r w:rsidR="00F822DA">
        <w:t>aggrieved with</w:t>
      </w:r>
      <w:r>
        <w:t xml:space="preserve"> this result and asked the Crown Court to state a case in order to bring the matter to the Divisional Court</w:t>
      </w:r>
      <w:r w:rsidR="00823B55">
        <w:t xml:space="preserve"> as an appeal by way of case stated</w:t>
      </w:r>
      <w:r>
        <w:t xml:space="preserve">. The Crown Court refused to do so. Accordingly, these proceedings began as </w:t>
      </w:r>
      <w:r w:rsidR="00FE6EBB">
        <w:t>j</w:t>
      </w:r>
      <w:r>
        <w:t xml:space="preserve">udicial </w:t>
      </w:r>
      <w:r w:rsidR="00FE6EBB">
        <w:t>r</w:t>
      </w:r>
      <w:r>
        <w:t xml:space="preserve">eview </w:t>
      </w:r>
      <w:r w:rsidR="00FE6EBB">
        <w:t>p</w:t>
      </w:r>
      <w:r>
        <w:t xml:space="preserve">roceedings arising out of the Crown Court’s refusal to state a case. Permission to bring that claim was </w:t>
      </w:r>
      <w:r w:rsidR="00E437A3">
        <w:t>refused on paper. However, on 9 April 2019</w:t>
      </w:r>
      <w:r w:rsidR="006D27CC">
        <w:t xml:space="preserve"> at an oral hearing,</w:t>
      </w:r>
      <w:r w:rsidR="002F52B6">
        <w:t xml:space="preserve"> </w:t>
      </w:r>
      <w:r w:rsidR="00E437A3">
        <w:t>Pepperall J</w:t>
      </w:r>
      <w:r w:rsidR="002F52B6">
        <w:t xml:space="preserve"> granted the Carters permission to apply for </w:t>
      </w:r>
      <w:r w:rsidR="00FE6EBB">
        <w:t>j</w:t>
      </w:r>
      <w:r w:rsidR="002F52B6">
        <w:t xml:space="preserve">udicial </w:t>
      </w:r>
      <w:r w:rsidR="00FE6EBB">
        <w:t>r</w:t>
      </w:r>
      <w:r w:rsidR="002F52B6">
        <w:t>eview of the Crown Court’</w:t>
      </w:r>
      <w:r w:rsidR="00EC72EE">
        <w:t>s refusal to state a case.</w:t>
      </w:r>
    </w:p>
    <w:p w14:paraId="5D1901AC" w14:textId="52082D48" w:rsidR="00E33DF4" w:rsidRPr="0083674C" w:rsidRDefault="00EC72EE" w:rsidP="008A5176">
      <w:pPr>
        <w:pStyle w:val="ParaLevel1"/>
      </w:pPr>
      <w:r>
        <w:t xml:space="preserve">On 18 April 2019, the Crown Court indicated that they did not contest the application for </w:t>
      </w:r>
      <w:r w:rsidR="0083674C">
        <w:t>j</w:t>
      </w:r>
      <w:r>
        <w:t xml:space="preserve">udicial </w:t>
      </w:r>
      <w:r w:rsidR="0083674C">
        <w:t>r</w:t>
      </w:r>
      <w:r>
        <w:t>eview against its refu</w:t>
      </w:r>
      <w:r w:rsidR="000A2110">
        <w:t xml:space="preserve">sal to state a case. In those circumstances, the </w:t>
      </w:r>
      <w:r w:rsidR="002A54FC">
        <w:t xml:space="preserve">correct course for the </w:t>
      </w:r>
      <w:r w:rsidR="000A2110">
        <w:t xml:space="preserve">Divisional Court </w:t>
      </w:r>
      <w:r w:rsidR="005B6A68">
        <w:t>i</w:t>
      </w:r>
      <w:r w:rsidR="000A2110">
        <w:t>s to proceed directly to determine the appeal by case stated</w:t>
      </w:r>
      <w:r w:rsidR="002A54FC">
        <w:t xml:space="preserve">, assuming it has the material </w:t>
      </w:r>
      <w:r w:rsidR="00B35AE3">
        <w:t>before it to be able to do so (for example, as in the present case, because it can treat the judgment of the Crown Court as the case stated)</w:t>
      </w:r>
      <w:r w:rsidR="000A2110">
        <w:t xml:space="preserve"> (</w:t>
      </w:r>
      <w:r w:rsidR="000A2110" w:rsidRPr="00803E37">
        <w:rPr>
          <w:i/>
        </w:rPr>
        <w:t xml:space="preserve">see R v Blackfriars Crown Court </w:t>
      </w:r>
      <w:r w:rsidR="0083674C">
        <w:rPr>
          <w:i/>
        </w:rPr>
        <w:t>e</w:t>
      </w:r>
      <w:r w:rsidR="00803E37" w:rsidRPr="00803E37">
        <w:rPr>
          <w:i/>
        </w:rPr>
        <w:t>x</w:t>
      </w:r>
      <w:r w:rsidR="0083674C">
        <w:rPr>
          <w:i/>
        </w:rPr>
        <w:t xml:space="preserve"> p</w:t>
      </w:r>
      <w:r w:rsidR="00803E37" w:rsidRPr="00803E37">
        <w:rPr>
          <w:i/>
        </w:rPr>
        <w:t>arte</w:t>
      </w:r>
      <w:r w:rsidR="00803E37">
        <w:rPr>
          <w:i/>
        </w:rPr>
        <w:t xml:space="preserve"> </w:t>
      </w:r>
      <w:r w:rsidR="000A2110" w:rsidRPr="00803E37">
        <w:rPr>
          <w:i/>
        </w:rPr>
        <w:t xml:space="preserve">Sunworld </w:t>
      </w:r>
      <w:r w:rsidR="000A2110" w:rsidRPr="0083674C">
        <w:t>[20</w:t>
      </w:r>
      <w:r w:rsidR="00E33DF4" w:rsidRPr="0083674C">
        <w:t xml:space="preserve">00] </w:t>
      </w:r>
      <w:r w:rsidR="00051DDD">
        <w:t xml:space="preserve">1 WLR </w:t>
      </w:r>
      <w:r w:rsidR="00E33DF4" w:rsidRPr="0083674C">
        <w:t>2102 at 2106F-H</w:t>
      </w:r>
      <w:r w:rsidR="0083674C">
        <w:t>)</w:t>
      </w:r>
      <w:r w:rsidR="00E33DF4" w:rsidRPr="0083674C">
        <w:t>.</w:t>
      </w:r>
    </w:p>
    <w:p w14:paraId="141BE875" w14:textId="0050A8F8" w:rsidR="000B73E2" w:rsidRDefault="002B3518" w:rsidP="008A5176">
      <w:pPr>
        <w:pStyle w:val="ParaLevel1"/>
      </w:pPr>
      <w:r>
        <w:t>B</w:t>
      </w:r>
      <w:r w:rsidR="000B73E2">
        <w:t xml:space="preserve">y the time of the hearing </w:t>
      </w:r>
      <w:r w:rsidR="00877F11">
        <w:t xml:space="preserve">of the appeal </w:t>
      </w:r>
      <w:r w:rsidR="000B73E2">
        <w:t>on 23 May, the Carters were seeking the remission of those parts of the</w:t>
      </w:r>
      <w:r w:rsidR="00577095">
        <w:t xml:space="preserve"> original</w:t>
      </w:r>
      <w:r w:rsidR="000B73E2">
        <w:t xml:space="preserve"> appeal </w:t>
      </w:r>
      <w:r>
        <w:t xml:space="preserve">with </w:t>
      </w:r>
      <w:r w:rsidR="000B73E2">
        <w:t>which the Crown Court had declined to deal</w:t>
      </w:r>
      <w:r w:rsidR="00877F11">
        <w:t>,</w:t>
      </w:r>
      <w:r w:rsidR="000B73E2">
        <w:t xml:space="preserve"> to a differently constituted Crown Court. But that w</w:t>
      </w:r>
      <w:r>
        <w:t>ould</w:t>
      </w:r>
      <w:r w:rsidR="000B73E2">
        <w:t xml:space="preserve"> only </w:t>
      </w:r>
      <w:r>
        <w:t xml:space="preserve">have been </w:t>
      </w:r>
      <w:r w:rsidR="000B73E2">
        <w:t>appropriate if it could be demonstrated that th</w:t>
      </w:r>
      <w:r>
        <w:t>e matter</w:t>
      </w:r>
      <w:r w:rsidR="000B73E2">
        <w:t xml:space="preserve"> </w:t>
      </w:r>
      <w:r w:rsidR="00084F24">
        <w:t>had been</w:t>
      </w:r>
      <w:r w:rsidR="000B73E2">
        <w:t xml:space="preserve"> properly before the Crown Court in the first place. In other words, </w:t>
      </w:r>
      <w:r>
        <w:t>if this</w:t>
      </w:r>
      <w:r w:rsidR="000B73E2">
        <w:t xml:space="preserve"> had never been a properly</w:t>
      </w:r>
      <w:r w:rsidR="00DC6837">
        <w:t xml:space="preserve"> </w:t>
      </w:r>
      <w:r w:rsidR="000B73E2">
        <w:t>constituted appeal under Regulation H5(1)</w:t>
      </w:r>
      <w:r>
        <w:t>,</w:t>
      </w:r>
      <w:r w:rsidR="000B73E2">
        <w:t xml:space="preserve"> there was nothing to remit to the Crown Court.</w:t>
      </w:r>
    </w:p>
    <w:p w14:paraId="52B1EEDB" w14:textId="77777777" w:rsidR="007A215D" w:rsidRDefault="000B73E2" w:rsidP="008A5176">
      <w:pPr>
        <w:pStyle w:val="ParaLevel1"/>
        <w:numPr>
          <w:ilvl w:val="0"/>
          <w:numId w:val="0"/>
        </w:numPr>
        <w:rPr>
          <w:b/>
          <w:u w:val="single"/>
        </w:rPr>
      </w:pPr>
      <w:r>
        <w:t xml:space="preserve">  </w:t>
      </w:r>
      <w:r w:rsidR="007A215D">
        <w:rPr>
          <w:b/>
          <w:u w:val="single"/>
        </w:rPr>
        <w:t>5</w:t>
      </w:r>
      <w:r w:rsidR="007A215D" w:rsidRPr="00705E71">
        <w:rPr>
          <w:b/>
          <w:u w:val="single"/>
        </w:rPr>
        <w:t xml:space="preserve"> </w:t>
      </w:r>
      <w:r w:rsidR="007A215D">
        <w:rPr>
          <w:b/>
          <w:u w:val="single"/>
        </w:rPr>
        <w:t>Was This An H5(1) Appeal?</w:t>
      </w:r>
    </w:p>
    <w:p w14:paraId="26CA5BA2" w14:textId="63AA5686" w:rsidR="007A215D" w:rsidRDefault="007A215D" w:rsidP="008A5176">
      <w:pPr>
        <w:pStyle w:val="ParaLevel1"/>
      </w:pPr>
      <w:r>
        <w:lastRenderedPageBreak/>
        <w:t>Part H of the Regulations is headed ‘Appeals and Medical Questions’. Regulation H1 is headed ‘Reference of Medical Questions’ and provides:</w:t>
      </w:r>
    </w:p>
    <w:p w14:paraId="18C639A2" w14:textId="5104FB59" w:rsidR="007A215D" w:rsidRDefault="007A215D" w:rsidP="008A5176">
      <w:pPr>
        <w:pStyle w:val="ParaLevel1"/>
        <w:numPr>
          <w:ilvl w:val="0"/>
          <w:numId w:val="0"/>
        </w:numPr>
        <w:ind w:left="1134" w:right="567"/>
      </w:pPr>
      <w:r>
        <w:t>“(1) Subject as hearing</w:t>
      </w:r>
      <w:r w:rsidR="00842774">
        <w:t xml:space="preserve"> after provided, the question whether a person is entitled to any and if so what awards under these Regulations shall be determined in the first instance by the Police Pension Authority.</w:t>
      </w:r>
    </w:p>
    <w:p w14:paraId="472B5AFA" w14:textId="44F5C664" w:rsidR="00842774" w:rsidRDefault="00842774" w:rsidP="008A5176">
      <w:pPr>
        <w:pStyle w:val="ParaLevel1"/>
        <w:numPr>
          <w:ilvl w:val="0"/>
          <w:numId w:val="0"/>
        </w:numPr>
        <w:ind w:left="1134" w:right="567"/>
      </w:pPr>
      <w:r>
        <w:t xml:space="preserve"> (2) Where the Police Pension Authority are considering whether a person is permanently disabled, they shall refer for a decision to a duly qualified medical practitioner selected by them the following questions – </w:t>
      </w:r>
    </w:p>
    <w:p w14:paraId="779A505D" w14:textId="1132D4A2" w:rsidR="00842774" w:rsidRDefault="00842774" w:rsidP="008A5176">
      <w:pPr>
        <w:pStyle w:val="ParaLevel1"/>
        <w:numPr>
          <w:ilvl w:val="0"/>
          <w:numId w:val="0"/>
        </w:numPr>
        <w:ind w:left="1134" w:right="567"/>
      </w:pPr>
      <w:r>
        <w:t>(</w:t>
      </w:r>
      <w:r w:rsidR="000C1AD8">
        <w:t xml:space="preserve">a) </w:t>
      </w:r>
      <w:r>
        <w:t xml:space="preserve">whether </w:t>
      </w:r>
      <w:r w:rsidR="000C1AD8">
        <w:t>a person concerned is disabled;</w:t>
      </w:r>
    </w:p>
    <w:p w14:paraId="7EE1D5C5" w14:textId="75D03E9D" w:rsidR="000C1AD8" w:rsidRDefault="000C1AD8" w:rsidP="008A5176">
      <w:pPr>
        <w:pStyle w:val="ParaLevel1"/>
        <w:numPr>
          <w:ilvl w:val="0"/>
          <w:numId w:val="0"/>
        </w:numPr>
        <w:ind w:left="1134" w:right="567"/>
      </w:pPr>
      <w:r>
        <w:t>(b) whether the disablement is likely to be permanent; …”</w:t>
      </w:r>
    </w:p>
    <w:p w14:paraId="50FEF722" w14:textId="68329AEC" w:rsidR="000C1AD8" w:rsidRDefault="000C1AD8" w:rsidP="008A5176">
      <w:pPr>
        <w:pStyle w:val="ParaLevel1"/>
        <w:numPr>
          <w:ilvl w:val="0"/>
          <w:numId w:val="0"/>
        </w:numPr>
        <w:ind w:left="720" w:right="567" w:hanging="720"/>
      </w:pPr>
      <w:r>
        <w:t>1</w:t>
      </w:r>
      <w:r w:rsidR="00B9744D">
        <w:t>3</w:t>
      </w:r>
      <w:r>
        <w:t>.</w:t>
      </w:r>
      <w:r>
        <w:tab/>
        <w:t>Regulation H5 is entitled ‘</w:t>
      </w:r>
      <w:r w:rsidR="00400572">
        <w:t>A</w:t>
      </w:r>
      <w:r>
        <w:t>ppeal by a member of a home police force’. The relevant paragraph reads:</w:t>
      </w:r>
    </w:p>
    <w:p w14:paraId="39D3F81E" w14:textId="798FFFF5" w:rsidR="000C1AD8" w:rsidRDefault="000C1AD8" w:rsidP="008A5176">
      <w:pPr>
        <w:pStyle w:val="ParaLevel1"/>
        <w:numPr>
          <w:ilvl w:val="0"/>
          <w:numId w:val="0"/>
        </w:numPr>
        <w:ind w:left="1134" w:right="567"/>
      </w:pPr>
      <w:r>
        <w:t>“</w:t>
      </w:r>
      <w:r w:rsidR="00B9744D">
        <w:t xml:space="preserve">(1) Where a member of a home police force, or a person claiming an award in  respect of  such a member, is aggrieved by the refusal of the Police Pension Authority to admit a claim to receive as of right an award or a larger </w:t>
      </w:r>
      <w:r w:rsidR="00540F08">
        <w:t>award</w:t>
      </w:r>
      <w:r w:rsidR="00B9744D">
        <w:t xml:space="preserve"> than that granted</w:t>
      </w:r>
      <w:r w:rsidR="00374636">
        <w:t xml:space="preserve"> or by a decision of the police pension authority as to whether </w:t>
      </w:r>
      <w:r w:rsidR="00801AF4">
        <w:t xml:space="preserve">a refusal to accept medical treatment is reasonable for the purposes </w:t>
      </w:r>
      <w:r w:rsidR="008C07A0">
        <w:t xml:space="preserve">of regulation A12(1A) or by the forfeiture </w:t>
      </w:r>
      <w:r w:rsidR="005B6437">
        <w:t xml:space="preserve">under regulation K5 by the pension supervising authority of any award </w:t>
      </w:r>
      <w:r w:rsidR="006C10A0">
        <w:t xml:space="preserve">granted to or in respect of such a member, </w:t>
      </w:r>
      <w:r w:rsidR="00B9744D">
        <w:t xml:space="preserve">he may, subject to Regulation H7, appeal to the Crown Court and that court, after inquiring into the case, may make </w:t>
      </w:r>
      <w:r w:rsidR="000179C5">
        <w:t>such</w:t>
      </w:r>
      <w:r w:rsidR="00B9744D">
        <w:t xml:space="preserve"> order in the matter as appears to it to be just.”</w:t>
      </w:r>
    </w:p>
    <w:p w14:paraId="5CBB3FDD" w14:textId="6A7F96E6" w:rsidR="00B9744D" w:rsidRDefault="005D4AE0" w:rsidP="008A5176">
      <w:pPr>
        <w:pStyle w:val="ParaLevel1"/>
        <w:numPr>
          <w:ilvl w:val="0"/>
          <w:numId w:val="13"/>
        </w:numPr>
      </w:pPr>
      <w:r>
        <w:t xml:space="preserve">Before considering whether or </w:t>
      </w:r>
      <w:r w:rsidR="00B9744D">
        <w:t>not Mr and Mrs Carter fall within these provisions</w:t>
      </w:r>
      <w:r w:rsidR="00893344">
        <w:t>, it</w:t>
      </w:r>
      <w:r w:rsidR="00B9744D">
        <w:t xml:space="preserve"> is first necessary</w:t>
      </w:r>
      <w:r w:rsidR="00DE2CA4">
        <w:t xml:space="preserve"> to analyse </w:t>
      </w:r>
      <w:r w:rsidR="000F1468">
        <w:t xml:space="preserve">more generally </w:t>
      </w:r>
      <w:r w:rsidR="00DE2CA4">
        <w:t xml:space="preserve">which </w:t>
      </w:r>
      <w:r w:rsidR="00752BCA">
        <w:t>(</w:t>
      </w:r>
      <w:r w:rsidR="00DE2CA4">
        <w:t>if either</w:t>
      </w:r>
      <w:r w:rsidR="00752BCA">
        <w:t xml:space="preserve">) </w:t>
      </w:r>
      <w:r w:rsidR="00DE2CA4">
        <w:t>of them has a claim and, if so, the precise nature of that claim.</w:t>
      </w:r>
    </w:p>
    <w:p w14:paraId="7F7D4472" w14:textId="1C9433C8" w:rsidR="00DE2CA4" w:rsidRDefault="00752BCA" w:rsidP="008A5176">
      <w:pPr>
        <w:pStyle w:val="ParaLevel1"/>
        <w:numPr>
          <w:ilvl w:val="0"/>
          <w:numId w:val="13"/>
        </w:numPr>
      </w:pPr>
      <w:r>
        <w:t>Our</w:t>
      </w:r>
      <w:r w:rsidR="005D4AE0">
        <w:t xml:space="preserve"> first conclusion </w:t>
      </w:r>
      <w:r>
        <w:t>was</w:t>
      </w:r>
      <w:r w:rsidR="005D4AE0">
        <w:t xml:space="preserve"> that </w:t>
      </w:r>
      <w:r w:rsidR="000F4349">
        <w:t>any</w:t>
      </w:r>
      <w:r w:rsidR="005D4AE0">
        <w:t xml:space="preserve"> claim </w:t>
      </w:r>
      <w:r w:rsidR="009C04BF">
        <w:t xml:space="preserve">in this case </w:t>
      </w:r>
      <w:r w:rsidR="000F4349">
        <w:t>can be</w:t>
      </w:r>
      <w:r w:rsidR="005D4AE0">
        <w:t xml:space="preserve"> that of Mrs Carter</w:t>
      </w:r>
      <w:r>
        <w:t xml:space="preserve"> only</w:t>
      </w:r>
      <w:r w:rsidR="005D4AE0">
        <w:t>. Although Mr Buttler made a number of references to Mr Carter</w:t>
      </w:r>
      <w:r w:rsidR="00E84572">
        <w:t>’s claim</w:t>
      </w:r>
      <w:r w:rsidR="005D4AE0">
        <w:t>,</w:t>
      </w:r>
      <w:r w:rsidR="00E84572">
        <w:t xml:space="preserve"> on analysis</w:t>
      </w:r>
      <w:r w:rsidR="005D4AE0">
        <w:t xml:space="preserve"> he ha</w:t>
      </w:r>
      <w:r>
        <w:t>s</w:t>
      </w:r>
      <w:r w:rsidR="005D4AE0">
        <w:t xml:space="preserve"> no claim at all. </w:t>
      </w:r>
      <w:r>
        <w:t>H</w:t>
      </w:r>
      <w:r w:rsidR="005D4AE0">
        <w:t xml:space="preserve">e has received his full pension entitlement </w:t>
      </w:r>
      <w:r w:rsidR="005136EB">
        <w:t>throughout</w:t>
      </w:r>
      <w:r w:rsidR="005D4AE0">
        <w:t xml:space="preserve"> his well-earned retirement. To use the language of Regulation H5(1)</w:t>
      </w:r>
      <w:r w:rsidR="001F38AA">
        <w:t>,</w:t>
      </w:r>
      <w:r w:rsidR="005D4AE0">
        <w:t xml:space="preserve"> the Police Pension Authority has always </w:t>
      </w:r>
      <w:r w:rsidR="005136EB">
        <w:t>‘</w:t>
      </w:r>
      <w:r w:rsidR="005D4AE0">
        <w:t>admitted his claim as of right</w:t>
      </w:r>
      <w:r w:rsidR="005136EB">
        <w:t>’</w:t>
      </w:r>
      <w:r w:rsidR="005D4AE0">
        <w:t>.</w:t>
      </w:r>
      <w:r w:rsidR="00367A4C" w:rsidRPr="00367A4C">
        <w:t xml:space="preserve"> </w:t>
      </w:r>
      <w:r w:rsidR="00922B78">
        <w:t>I</w:t>
      </w:r>
      <w:r w:rsidR="00367A4C">
        <w:t xml:space="preserve"> consider that this starting-point, which does not appear to have been </w:t>
      </w:r>
      <w:r w:rsidR="00922B78">
        <w:t xml:space="preserve">previously </w:t>
      </w:r>
      <w:r w:rsidR="00367A4C">
        <w:t>identified</w:t>
      </w:r>
      <w:r w:rsidR="005E7912">
        <w:t>,</w:t>
      </w:r>
      <w:r w:rsidR="00367A4C">
        <w:t xml:space="preserve"> should have been </w:t>
      </w:r>
      <w:r w:rsidR="005E7912">
        <w:t xml:space="preserve">made </w:t>
      </w:r>
      <w:r w:rsidR="00367A4C">
        <w:t>clear from the outset.</w:t>
      </w:r>
    </w:p>
    <w:p w14:paraId="3F651305" w14:textId="01AD4573" w:rsidR="005D4AE0" w:rsidRDefault="005E7912" w:rsidP="008A5176">
      <w:pPr>
        <w:pStyle w:val="ParaLevel1"/>
        <w:numPr>
          <w:ilvl w:val="0"/>
          <w:numId w:val="13"/>
        </w:numPr>
      </w:pPr>
      <w:r>
        <w:t>Any</w:t>
      </w:r>
      <w:r w:rsidR="005D4AE0">
        <w:t xml:space="preserve"> claim </w:t>
      </w:r>
      <w:r w:rsidR="005F4885">
        <w:t xml:space="preserve">is therefore </w:t>
      </w:r>
      <w:r w:rsidR="00922B78">
        <w:t>a claim by</w:t>
      </w:r>
      <w:r w:rsidR="005D4AE0">
        <w:t xml:space="preserve"> Mrs Carter</w:t>
      </w:r>
      <w:r w:rsidR="005F4885">
        <w:t xml:space="preserve"> only</w:t>
      </w:r>
      <w:r w:rsidR="005D4AE0">
        <w:t>. It is her claim that, if her husband predeceases her, she should be entitled to a widow’s pension.</w:t>
      </w:r>
      <w:r w:rsidR="005F4885">
        <w:t xml:space="preserve"> </w:t>
      </w:r>
    </w:p>
    <w:p w14:paraId="380BAE1C" w14:textId="7B166275" w:rsidR="005D4AE0" w:rsidRDefault="005D4AE0" w:rsidP="008A5176">
      <w:pPr>
        <w:pStyle w:val="ParaLevel1"/>
        <w:numPr>
          <w:ilvl w:val="0"/>
          <w:numId w:val="13"/>
        </w:numPr>
      </w:pPr>
      <w:r>
        <w:t xml:space="preserve">The next question is the precise nature of </w:t>
      </w:r>
      <w:r w:rsidR="00446740">
        <w:t>her</w:t>
      </w:r>
      <w:r>
        <w:t xml:space="preserve"> claim. It</w:t>
      </w:r>
      <w:r w:rsidR="00722237">
        <w:t xml:space="preserve"> </w:t>
      </w:r>
      <w:r w:rsidR="00446740">
        <w:t>seems clear</w:t>
      </w:r>
      <w:r w:rsidR="00722237">
        <w:t xml:space="preserve"> that it</w:t>
      </w:r>
      <w:r>
        <w:t xml:space="preserve"> is a contingent claim. </w:t>
      </w:r>
      <w:r w:rsidR="00722237">
        <w:t>Happily, it</w:t>
      </w:r>
      <w:r>
        <w:t xml:space="preserve"> is not a claim that has yet arisen.  It may never arise. It will only arise at some point in the future if Mr Carter predeceases h</w:t>
      </w:r>
      <w:r w:rsidR="00722237">
        <w:t>is wife</w:t>
      </w:r>
      <w:r>
        <w:t>. It is therefore a contingent claim</w:t>
      </w:r>
      <w:r w:rsidR="0026421C">
        <w:t xml:space="preserve"> and no more</w:t>
      </w:r>
      <w:r>
        <w:t>.</w:t>
      </w:r>
    </w:p>
    <w:p w14:paraId="13A6E763" w14:textId="32A9A281" w:rsidR="005D4AE0" w:rsidRDefault="005D4AE0" w:rsidP="008A5176">
      <w:pPr>
        <w:pStyle w:val="ParaLevel1"/>
        <w:numPr>
          <w:ilvl w:val="0"/>
          <w:numId w:val="13"/>
        </w:numPr>
      </w:pPr>
      <w:r>
        <w:t xml:space="preserve">Of course, </w:t>
      </w:r>
      <w:r w:rsidR="0026421C">
        <w:t>such</w:t>
      </w:r>
      <w:r>
        <w:t xml:space="preserve"> claims are well-known to the law. The mere fact that the claim has not yet crystallised </w:t>
      </w:r>
      <w:r w:rsidR="00971750">
        <w:t xml:space="preserve">(and may not ever crystallise) </w:t>
      </w:r>
      <w:r>
        <w:t xml:space="preserve">does not </w:t>
      </w:r>
      <w:r w:rsidR="009004E1">
        <w:t xml:space="preserve">of itself </w:t>
      </w:r>
      <w:r>
        <w:t xml:space="preserve">prevent the party concerned from seeking redress in the courts. The usual way in which a contingent </w:t>
      </w:r>
      <w:r>
        <w:lastRenderedPageBreak/>
        <w:t>claim is formulated is by way of a claim for declaratory relief</w:t>
      </w:r>
      <w:r w:rsidR="00F96732">
        <w:t xml:space="preserve"> pursuant to CPR Part 8</w:t>
      </w:r>
      <w:r w:rsidR="001D56FA">
        <w:t xml:space="preserve"> or</w:t>
      </w:r>
      <w:r w:rsidR="0026421C">
        <w:t>,</w:t>
      </w:r>
      <w:r w:rsidR="001D56FA">
        <w:t xml:space="preserve"> if there is going to be disputed evidence, CPR Part 7.</w:t>
      </w:r>
    </w:p>
    <w:p w14:paraId="2FAAB6E0" w14:textId="118B646E" w:rsidR="001D56FA" w:rsidRDefault="001D56FA" w:rsidP="008A5176">
      <w:pPr>
        <w:pStyle w:val="ParaLevel1"/>
        <w:numPr>
          <w:ilvl w:val="0"/>
          <w:numId w:val="13"/>
        </w:numPr>
      </w:pPr>
      <w:r>
        <w:t>In addition, Part</w:t>
      </w:r>
      <w:r w:rsidR="0026421C">
        <w:t>s</w:t>
      </w:r>
      <w:r>
        <w:t xml:space="preserve"> 7 or 8 suggest themselves as the obvious procedure to adopt in a case like this</w:t>
      </w:r>
      <w:r w:rsidR="004C5449">
        <w:t xml:space="preserve">. </w:t>
      </w:r>
      <w:r w:rsidR="00457470">
        <w:t>That is despite the fact that</w:t>
      </w:r>
      <w:r w:rsidR="004C5449">
        <w:t xml:space="preserve"> Mr </w:t>
      </w:r>
      <w:r w:rsidR="001734E2">
        <w:t>C</w:t>
      </w:r>
      <w:r w:rsidR="004C5449">
        <w:t>arter was an office</w:t>
      </w:r>
      <w:r w:rsidR="00D17747">
        <w:t xml:space="preserve"> </w:t>
      </w:r>
      <w:r w:rsidR="004C5449">
        <w:t xml:space="preserve">holder, rather </w:t>
      </w:r>
      <w:r w:rsidR="001734E2">
        <w:t>than an employee</w:t>
      </w:r>
      <w:r w:rsidR="00144CE5">
        <w:t xml:space="preserve"> (see </w:t>
      </w:r>
      <w:r w:rsidR="00144CE5" w:rsidRPr="00913073">
        <w:rPr>
          <w:i/>
          <w:iCs/>
        </w:rPr>
        <w:t>Attorney-General for New South Wales</w:t>
      </w:r>
      <w:r w:rsidR="00913073" w:rsidRPr="00913073">
        <w:rPr>
          <w:i/>
          <w:iCs/>
        </w:rPr>
        <w:t xml:space="preserve"> v Perpetual Trustee Co</w:t>
      </w:r>
      <w:r w:rsidR="00913073">
        <w:t xml:space="preserve"> [1955] 2 WLR 707)</w:t>
      </w:r>
      <w:r w:rsidR="001734E2">
        <w:t xml:space="preserve">, </w:t>
      </w:r>
      <w:r w:rsidR="00EC3C75">
        <w:t>so</w:t>
      </w:r>
      <w:r w:rsidR="001734E2">
        <w:t xml:space="preserve"> </w:t>
      </w:r>
      <w:r w:rsidR="00125A69">
        <w:t>th</w:t>
      </w:r>
      <w:r w:rsidR="00457470">
        <w:t>at</w:t>
      </w:r>
      <w:r w:rsidR="00125A69">
        <w:t xml:space="preserve"> </w:t>
      </w:r>
      <w:r w:rsidR="00663B7C">
        <w:t>his benefits</w:t>
      </w:r>
      <w:r w:rsidR="00457470">
        <w:t xml:space="preserve"> </w:t>
      </w:r>
      <w:r w:rsidR="00144CE5">
        <w:t>aro</w:t>
      </w:r>
      <w:r w:rsidR="00663B7C">
        <w:t>se by way of st</w:t>
      </w:r>
      <w:r w:rsidR="00387B50">
        <w:t>at</w:t>
      </w:r>
      <w:r w:rsidR="00663B7C">
        <w:t>utory instrument rather than contract</w:t>
      </w:r>
      <w:r w:rsidR="00D17747">
        <w:t xml:space="preserve"> (see</w:t>
      </w:r>
      <w:r w:rsidR="00621C44">
        <w:t xml:space="preserve"> by analogy</w:t>
      </w:r>
      <w:r w:rsidR="00D17747">
        <w:t xml:space="preserve"> </w:t>
      </w:r>
      <w:r w:rsidR="00D17747" w:rsidRPr="00621C44">
        <w:rPr>
          <w:i/>
          <w:iCs/>
        </w:rPr>
        <w:t>Booth v Oldham MBC</w:t>
      </w:r>
      <w:r w:rsidR="00D17747">
        <w:t xml:space="preserve"> [2009] EWCA Civ</w:t>
      </w:r>
      <w:r w:rsidR="00621C44">
        <w:t xml:space="preserve"> 880 at para 23(i))</w:t>
      </w:r>
      <w:r>
        <w:t>.</w:t>
      </w:r>
      <w:r w:rsidR="00150758">
        <w:t xml:space="preserve"> </w:t>
      </w:r>
    </w:p>
    <w:p w14:paraId="46F98B37" w14:textId="647B7D6F" w:rsidR="001D56FA" w:rsidRDefault="001D56FA" w:rsidP="008A5176">
      <w:pPr>
        <w:pStyle w:val="ParaLevel1"/>
        <w:numPr>
          <w:ilvl w:val="0"/>
          <w:numId w:val="13"/>
        </w:numPr>
      </w:pPr>
      <w:r>
        <w:t xml:space="preserve">For that reason, </w:t>
      </w:r>
      <w:r w:rsidR="00231B13">
        <w:t xml:space="preserve">and contrary to the submissions of Mr Buttler </w:t>
      </w:r>
      <w:r w:rsidR="00AD441B">
        <w:t>(</w:t>
      </w:r>
      <w:r w:rsidR="00231B13">
        <w:t xml:space="preserve">and the </w:t>
      </w:r>
      <w:r w:rsidR="00AD441B">
        <w:t>tentat</w:t>
      </w:r>
      <w:r w:rsidR="004A26A5">
        <w:t xml:space="preserve">ive </w:t>
      </w:r>
      <w:r w:rsidR="00231B13">
        <w:t>view of the Crown Court</w:t>
      </w:r>
      <w:r w:rsidR="004A26A5">
        <w:t>)</w:t>
      </w:r>
      <w:r w:rsidR="00C83243">
        <w:t>, it</w:t>
      </w:r>
      <w:r>
        <w:t xml:space="preserve"> does not seem to </w:t>
      </w:r>
      <w:r w:rsidR="00231B13">
        <w:t>us</w:t>
      </w:r>
      <w:r>
        <w:t xml:space="preserve"> that judicial review would have been an appropriate course. </w:t>
      </w:r>
      <w:r w:rsidR="00486DCF">
        <w:t>T</w:t>
      </w:r>
      <w:r>
        <w:t>here is a clear and obvious remedy</w:t>
      </w:r>
      <w:r w:rsidR="004A26A5">
        <w:t xml:space="preserve"> here</w:t>
      </w:r>
      <w:r w:rsidR="00B75F8D">
        <w:t>,</w:t>
      </w:r>
      <w:r>
        <w:t xml:space="preserve"> namely </w:t>
      </w:r>
      <w:r w:rsidR="00C83243">
        <w:t>the</w:t>
      </w:r>
      <w:r>
        <w:t xml:space="preserve"> </w:t>
      </w:r>
      <w:r w:rsidR="004A26A5">
        <w:t xml:space="preserve">ordinary </w:t>
      </w:r>
      <w:r>
        <w:t>claim for a declaration referred to above</w:t>
      </w:r>
      <w:r w:rsidR="00B75F8D">
        <w:t>.</w:t>
      </w:r>
      <w:r>
        <w:t xml:space="preserve"> </w:t>
      </w:r>
      <w:r w:rsidR="00B75F8D">
        <w:t>J</w:t>
      </w:r>
      <w:r>
        <w:t xml:space="preserve">udicial review </w:t>
      </w:r>
      <w:r w:rsidR="00B75F8D">
        <w:t xml:space="preserve">is generally only </w:t>
      </w:r>
      <w:r w:rsidR="006B5514">
        <w:rPr>
          <w:rStyle w:val="Strong"/>
          <w:b w:val="0"/>
        </w:rPr>
        <w:t>granted</w:t>
      </w:r>
      <w:r w:rsidR="00B75F8D" w:rsidRPr="00317BCF">
        <w:rPr>
          <w:rStyle w:val="Strong"/>
          <w:b w:val="0"/>
        </w:rPr>
        <w:t xml:space="preserve"> if there is no other</w:t>
      </w:r>
      <w:r w:rsidR="00B75F8D">
        <w:rPr>
          <w:rStyle w:val="Strong"/>
        </w:rPr>
        <w:t xml:space="preserve"> </w:t>
      </w:r>
      <w:r w:rsidR="00317BCF">
        <w:t>remedy available</w:t>
      </w:r>
      <w:r>
        <w:t xml:space="preserve">. </w:t>
      </w:r>
    </w:p>
    <w:p w14:paraId="0B2485C4" w14:textId="2FE3CFCE" w:rsidR="001D56FA" w:rsidRDefault="001D56FA" w:rsidP="008A5176">
      <w:pPr>
        <w:pStyle w:val="ParaLevel1"/>
        <w:numPr>
          <w:ilvl w:val="0"/>
          <w:numId w:val="13"/>
        </w:numPr>
      </w:pPr>
      <w:r>
        <w:t xml:space="preserve">For those reasons, therefore, </w:t>
      </w:r>
      <w:r w:rsidR="00062B39">
        <w:t>I am</w:t>
      </w:r>
      <w:r>
        <w:t xml:space="preserve"> firmly of the view that Mrs Carter’s contingent claim </w:t>
      </w:r>
      <w:r w:rsidR="00E97C57">
        <w:t xml:space="preserve">could and </w:t>
      </w:r>
      <w:r>
        <w:t>should have been the subject of a straightforward claim for declaratory relief under Parts 7 or 8 of the CPR.</w:t>
      </w:r>
    </w:p>
    <w:p w14:paraId="7B44FDAE" w14:textId="1C852064" w:rsidR="00D73645" w:rsidRDefault="003B31CB" w:rsidP="008A5176">
      <w:pPr>
        <w:pStyle w:val="ParaLevel1"/>
        <w:numPr>
          <w:ilvl w:val="0"/>
          <w:numId w:val="13"/>
        </w:numPr>
      </w:pPr>
      <w:r>
        <w:t>The next question is whether, despite the availability of that remedy,</w:t>
      </w:r>
      <w:r w:rsidR="00386652">
        <w:t xml:space="preserve"> Mrs Carter </w:t>
      </w:r>
      <w:r>
        <w:t xml:space="preserve">was </w:t>
      </w:r>
      <w:r w:rsidR="00386652">
        <w:t xml:space="preserve">obliged or </w:t>
      </w:r>
      <w:r>
        <w:t xml:space="preserve">at least </w:t>
      </w:r>
      <w:r w:rsidR="00386652">
        <w:t xml:space="preserve">entitled to </w:t>
      </w:r>
      <w:r w:rsidR="00D73645">
        <w:t>pursue a</w:t>
      </w:r>
      <w:r>
        <w:t>n alternative</w:t>
      </w:r>
      <w:r w:rsidR="00D73645">
        <w:t xml:space="preserve"> remedy under the Regulations</w:t>
      </w:r>
      <w:r>
        <w:t>, and Regulation H5(1) in particular</w:t>
      </w:r>
      <w:r w:rsidR="00D73645">
        <w:t>?</w:t>
      </w:r>
    </w:p>
    <w:p w14:paraId="7BA28582" w14:textId="14279AF2" w:rsidR="00D73645" w:rsidRDefault="00D73645" w:rsidP="008A5176">
      <w:pPr>
        <w:pStyle w:val="ParaLevel1"/>
        <w:numPr>
          <w:ilvl w:val="0"/>
          <w:numId w:val="13"/>
        </w:numPr>
      </w:pPr>
      <w:r>
        <w:t>She was plainly not obliged to do so. That is apparent from the wording of Regulation H5(1)</w:t>
      </w:r>
      <w:r w:rsidR="00B82921">
        <w:t>,</w:t>
      </w:r>
      <w:r>
        <w:t xml:space="preserve"> which s</w:t>
      </w:r>
      <w:r w:rsidR="003B31CB">
        <w:t>tate</w:t>
      </w:r>
      <w:r>
        <w:t xml:space="preserve">s that a person with a claim “may” appeal to the Crown Court. </w:t>
      </w:r>
      <w:r w:rsidR="00014A72">
        <w:t>Th</w:t>
      </w:r>
      <w:r w:rsidR="003B31CB">
        <w:t>e</w:t>
      </w:r>
      <w:r w:rsidR="00014A72">
        <w:t xml:space="preserve"> </w:t>
      </w:r>
      <w:r w:rsidR="005042A4">
        <w:t>option, even if it were available,</w:t>
      </w:r>
      <w:r>
        <w:t xml:space="preserve"> is not therefore mandatory.</w:t>
      </w:r>
    </w:p>
    <w:p w14:paraId="73C21349" w14:textId="48554B7F" w:rsidR="00D73645" w:rsidRDefault="00D73645" w:rsidP="008A5176">
      <w:pPr>
        <w:pStyle w:val="ParaLevel1"/>
        <w:numPr>
          <w:ilvl w:val="0"/>
          <w:numId w:val="13"/>
        </w:numPr>
      </w:pPr>
      <w:r>
        <w:t>The final question is whether, even if it was not mandatory, Mrs Carter was entitled to make a claim under Regulation H5(1).</w:t>
      </w:r>
      <w:r w:rsidR="001D56FA">
        <w:t xml:space="preserve"> </w:t>
      </w:r>
      <w:r w:rsidR="001E35D9">
        <w:t xml:space="preserve"> </w:t>
      </w:r>
      <w:r w:rsidR="005D76B4">
        <w:t>For t</w:t>
      </w:r>
      <w:r w:rsidR="001E35D9">
        <w:t xml:space="preserve">he reasons outlined below, </w:t>
      </w:r>
      <w:r w:rsidR="005042A4">
        <w:t>I</w:t>
      </w:r>
      <w:r w:rsidR="001E35D9">
        <w:t xml:space="preserve"> do not think that she was.</w:t>
      </w:r>
    </w:p>
    <w:p w14:paraId="0C0D4FBE" w14:textId="307553CF" w:rsidR="002B1BEF" w:rsidRDefault="00932DD3" w:rsidP="008A5176">
      <w:pPr>
        <w:pStyle w:val="ParaLevel1"/>
        <w:numPr>
          <w:ilvl w:val="0"/>
          <w:numId w:val="13"/>
        </w:numPr>
      </w:pPr>
      <w:r>
        <w:t>T</w:t>
      </w:r>
      <w:r w:rsidR="002B1BEF">
        <w:t>he wording of Regulation H5(1) is restrictive. It does not</w:t>
      </w:r>
      <w:r w:rsidR="00C360B4">
        <w:t xml:space="preserve"> </w:t>
      </w:r>
      <w:r w:rsidR="002B1BEF">
        <w:t xml:space="preserve">allow an aggrieved party to appeal to the Crown Court in relation to any decision by the Police Pension Authority. </w:t>
      </w:r>
      <w:r>
        <w:t>If that were the case, it would simply say so.</w:t>
      </w:r>
      <w:r w:rsidR="0035555C">
        <w:t xml:space="preserve"> </w:t>
      </w:r>
      <w:r w:rsidR="00A50267">
        <w:t>On the contrary, i</w:t>
      </w:r>
      <w:r w:rsidR="002B1BEF">
        <w:t>t carefully restricts the circumstances in which such an appeal can be made</w:t>
      </w:r>
      <w:r w:rsidR="00DB58A6">
        <w:t xml:space="preserve"> to </w:t>
      </w:r>
      <w:r w:rsidR="003D7F0F">
        <w:t xml:space="preserve">a) </w:t>
      </w:r>
      <w:r w:rsidR="00DB58A6">
        <w:t>a refusal to admit a claim as of right;</w:t>
      </w:r>
      <w:r w:rsidR="009558E1">
        <w:t xml:space="preserve"> </w:t>
      </w:r>
      <w:r w:rsidR="003D7F0F">
        <w:t xml:space="preserve">b) </w:t>
      </w:r>
      <w:r w:rsidR="009558E1">
        <w:t>a refusal to admit a claim to a larger award than that granted;</w:t>
      </w:r>
      <w:r w:rsidR="00686109">
        <w:t xml:space="preserve"> </w:t>
      </w:r>
      <w:r w:rsidR="003D7F0F">
        <w:t xml:space="preserve">c) </w:t>
      </w:r>
      <w:r w:rsidR="00686109">
        <w:t xml:space="preserve">a decision </w:t>
      </w:r>
      <w:r w:rsidR="00A50267">
        <w:t xml:space="preserve">as to whether a refusal to accept </w:t>
      </w:r>
      <w:r w:rsidR="003D7F0F">
        <w:t xml:space="preserve">medical treatment </w:t>
      </w:r>
      <w:r w:rsidR="009441EF">
        <w:t xml:space="preserve">is reasonable and d) </w:t>
      </w:r>
      <w:r w:rsidR="00DB10F6">
        <w:t>forfeiture of any award.</w:t>
      </w:r>
      <w:r>
        <w:t xml:space="preserve"> Mrs </w:t>
      </w:r>
      <w:r w:rsidR="0035555C">
        <w:t>C</w:t>
      </w:r>
      <w:r>
        <w:t xml:space="preserve">arter’s </w:t>
      </w:r>
      <w:r w:rsidR="0035555C">
        <w:t>contingent claim cannot</w:t>
      </w:r>
      <w:r w:rsidR="005717AC">
        <w:t xml:space="preserve"> on any view</w:t>
      </w:r>
      <w:r w:rsidR="0035555C">
        <w:t xml:space="preserve"> fall within b)-d)</w:t>
      </w:r>
      <w:r w:rsidR="00ED20FA">
        <w:t xml:space="preserve">. </w:t>
      </w:r>
      <w:r w:rsidR="00114250">
        <w:t>So d</w:t>
      </w:r>
      <w:r w:rsidR="00ED20FA">
        <w:t>oes it fall within a) (ie does she have a claim as of right to an award)</w:t>
      </w:r>
      <w:r w:rsidR="00A010F6">
        <w:t>?</w:t>
      </w:r>
    </w:p>
    <w:p w14:paraId="0B11C70D" w14:textId="1EBE0EFB" w:rsidR="002B1BEF" w:rsidRDefault="00EF20FA" w:rsidP="008A5176">
      <w:pPr>
        <w:pStyle w:val="ParaLevel1"/>
        <w:numPr>
          <w:ilvl w:val="0"/>
          <w:numId w:val="13"/>
        </w:numPr>
      </w:pPr>
      <w:r>
        <w:t>T</w:t>
      </w:r>
      <w:r w:rsidR="002B1BEF">
        <w:t xml:space="preserve">he whole appeal process under Part H, starting at Regulation H1, is concerned with “the question whether a person </w:t>
      </w:r>
      <w:r w:rsidR="002B1BEF" w:rsidRPr="00DA18A8">
        <w:rPr>
          <w:b/>
          <w:i/>
          <w:u w:val="single"/>
        </w:rPr>
        <w:t>is entitled</w:t>
      </w:r>
      <w:r w:rsidR="002B1BEF">
        <w:t xml:space="preserve"> to any, and if so, what awards …”</w:t>
      </w:r>
      <w:r w:rsidR="00DA18A8">
        <w:t xml:space="preserve"> (emphasis supplied).</w:t>
      </w:r>
      <w:r w:rsidR="002B1BEF">
        <w:t xml:space="preserve"> As we have seen, </w:t>
      </w:r>
      <w:r w:rsidR="008845D9">
        <w:t xml:space="preserve">as things currently stand, </w:t>
      </w:r>
      <w:r w:rsidR="002B1BEF">
        <w:t xml:space="preserve">Mrs Carter is not </w:t>
      </w:r>
      <w:r w:rsidR="00274FFA">
        <w:t xml:space="preserve">presently </w:t>
      </w:r>
      <w:r w:rsidR="002B1BEF">
        <w:t xml:space="preserve">entitled </w:t>
      </w:r>
      <w:r w:rsidR="008845D9">
        <w:t xml:space="preserve">to </w:t>
      </w:r>
      <w:r w:rsidR="002B1BEF">
        <w:t>any award</w:t>
      </w:r>
      <w:r w:rsidR="004C21D1">
        <w:t>, even on her own case</w:t>
      </w:r>
      <w:r w:rsidR="002B1BEF">
        <w:t>. She</w:t>
      </w:r>
      <w:r w:rsidR="004C21D1">
        <w:t xml:space="preserve"> i</w:t>
      </w:r>
      <w:r w:rsidR="002B1BEF">
        <w:t>s not</w:t>
      </w:r>
      <w:r w:rsidR="00792390">
        <w:t>, nor is she claiming to be,</w:t>
      </w:r>
      <w:r w:rsidR="002B1BEF">
        <w:t xml:space="preserve"> “a person [who] is entitled” to an award. </w:t>
      </w:r>
      <w:r w:rsidR="00485262">
        <w:t>A p</w:t>
      </w:r>
      <w:r w:rsidR="002B1BEF">
        <w:t>erson who may be entitled to an award in the future</w:t>
      </w:r>
      <w:r w:rsidR="00274FFA">
        <w:t>,</w:t>
      </w:r>
      <w:r w:rsidR="002B1BEF">
        <w:t xml:space="preserve"> </w:t>
      </w:r>
      <w:r w:rsidR="001C1BD7">
        <w:t>on t</w:t>
      </w:r>
      <w:r w:rsidR="002B1BEF">
        <w:t>he happening</w:t>
      </w:r>
      <w:r w:rsidR="001C1BD7">
        <w:t xml:space="preserve"> of other events</w:t>
      </w:r>
      <w:r w:rsidR="00274FFA">
        <w:t>,</w:t>
      </w:r>
      <w:r w:rsidR="001C1BD7">
        <w:t xml:space="preserve"> </w:t>
      </w:r>
      <w:r w:rsidR="00CE3806">
        <w:t xml:space="preserve">does not fall </w:t>
      </w:r>
      <w:r w:rsidR="001C1BD7">
        <w:t>within the rubric of H1(1).</w:t>
      </w:r>
    </w:p>
    <w:p w14:paraId="117DB7AF" w14:textId="005C93D1" w:rsidR="001C1BD7" w:rsidRDefault="002916CA" w:rsidP="008A5176">
      <w:pPr>
        <w:pStyle w:val="ParaLevel1"/>
        <w:numPr>
          <w:ilvl w:val="0"/>
          <w:numId w:val="13"/>
        </w:numPr>
      </w:pPr>
      <w:r>
        <w:t>Similarly, b</w:t>
      </w:r>
      <w:r w:rsidR="00EE16E0">
        <w:t>y reference to the words in Regulation H5(1)</w:t>
      </w:r>
      <w:r>
        <w:t>,</w:t>
      </w:r>
      <w:r w:rsidR="00EE16E0">
        <w:t xml:space="preserve"> Mrs Carter is not someone with a claim to receive “as of right an award”. She has a contingent claim which may or may not crystallise in the future. </w:t>
      </w:r>
    </w:p>
    <w:p w14:paraId="7A9F5AB7" w14:textId="50C53B09" w:rsidR="00034E2F" w:rsidRDefault="00034E2F" w:rsidP="008A5176">
      <w:pPr>
        <w:pStyle w:val="ParaLevel1"/>
        <w:numPr>
          <w:ilvl w:val="0"/>
          <w:numId w:val="13"/>
        </w:numPr>
      </w:pPr>
      <w:r>
        <w:lastRenderedPageBreak/>
        <w:t xml:space="preserve">This analysis is borne out by a wider consideration of the Regulations. They deal in detail with the rights of widows. Happily, Mrs Carter is not a widow. So again </w:t>
      </w:r>
      <w:r w:rsidR="00655BAB">
        <w:t>her contingent claim</w:t>
      </w:r>
      <w:r w:rsidR="00850412">
        <w:t>, which only arises when and if she becomes a widow,</w:t>
      </w:r>
      <w:r>
        <w:t xml:space="preserve"> is outside the scope of the Regulations.</w:t>
      </w:r>
    </w:p>
    <w:p w14:paraId="5CA64397" w14:textId="534B03B5" w:rsidR="00AA7813" w:rsidRDefault="00EE16E0" w:rsidP="008A5176">
      <w:pPr>
        <w:pStyle w:val="ParaLevel1"/>
        <w:numPr>
          <w:ilvl w:val="0"/>
          <w:numId w:val="13"/>
        </w:numPr>
      </w:pPr>
      <w:r>
        <w:t>For these reasons, therefore, it seems clear that the limited appeal mechanism identified in Regulation H5(1)</w:t>
      </w:r>
      <w:r w:rsidR="00A45F4E">
        <w:t xml:space="preserve"> would not include contingent claims such as th</w:t>
      </w:r>
      <w:r w:rsidR="00850412">
        <w:t>at</w:t>
      </w:r>
      <w:r w:rsidR="00A45F4E">
        <w:t xml:space="preserve"> made on behalf of Mrs Carter. Furthermore, that should not </w:t>
      </w:r>
      <w:r w:rsidR="00B57245">
        <w:t>come as</w:t>
      </w:r>
      <w:r w:rsidR="00A45F4E">
        <w:t xml:space="preserve"> a surprise. The appeal process set out in Regulation H5(1) </w:t>
      </w:r>
      <w:r w:rsidR="00484B18">
        <w:t>i</w:t>
      </w:r>
      <w:r w:rsidR="00A45F4E">
        <w:t>s clearly designed to be a quick and straightforward process</w:t>
      </w:r>
      <w:r w:rsidR="00850412">
        <w:t>,</w:t>
      </w:r>
      <w:r w:rsidR="00A45F4E">
        <w:t xml:space="preserve"> dealing with black</w:t>
      </w:r>
      <w:r w:rsidR="00484B18">
        <w:t>-</w:t>
      </w:r>
      <w:r w:rsidR="00A45F4E">
        <w:t>and</w:t>
      </w:r>
      <w:r w:rsidR="00484B18">
        <w:t>-w</w:t>
      </w:r>
      <w:r w:rsidR="00A45F4E">
        <w:t>hite questions of entitlement as of right</w:t>
      </w:r>
      <w:r w:rsidR="00501F35">
        <w:t>,</w:t>
      </w:r>
      <w:r w:rsidR="00A45F4E">
        <w:t xml:space="preserve"> or errors in computation. It </w:t>
      </w:r>
      <w:r w:rsidR="00A9254F">
        <w:t>i</w:t>
      </w:r>
      <w:r w:rsidR="00A45F4E">
        <w:t>s not designed to deal with contingent claims of the sort that arise he</w:t>
      </w:r>
      <w:r w:rsidR="00BD32A9">
        <w:t>re</w:t>
      </w:r>
      <w:r w:rsidR="00A9254F">
        <w:t>,</w:t>
      </w:r>
      <w:r w:rsidR="0014093F">
        <w:t xml:space="preserve"> which </w:t>
      </w:r>
      <w:r w:rsidR="00161FDF">
        <w:t xml:space="preserve">may themselves </w:t>
      </w:r>
      <w:r w:rsidR="0014093F">
        <w:t xml:space="preserve">fall outside the </w:t>
      </w:r>
      <w:r w:rsidR="00161FDF">
        <w:t xml:space="preserve">expertise of the </w:t>
      </w:r>
      <w:r w:rsidR="0014093F">
        <w:t>Crown Court</w:t>
      </w:r>
      <w:r w:rsidR="00322607">
        <w:t xml:space="preserve"> in any event</w:t>
      </w:r>
      <w:r w:rsidR="00A45F4E">
        <w:t>.</w:t>
      </w:r>
      <w:r w:rsidR="00AA7813">
        <w:t xml:space="preserve"> </w:t>
      </w:r>
    </w:p>
    <w:p w14:paraId="46016A4F" w14:textId="66AE32E8" w:rsidR="00EE16E0" w:rsidRDefault="00AA7813" w:rsidP="008A5176">
      <w:pPr>
        <w:pStyle w:val="ParaLevel1"/>
        <w:numPr>
          <w:ilvl w:val="0"/>
          <w:numId w:val="13"/>
        </w:numPr>
      </w:pPr>
      <w:r>
        <w:t xml:space="preserve">These conclusions bring </w:t>
      </w:r>
      <w:r w:rsidR="00501F35">
        <w:t>us</w:t>
      </w:r>
      <w:r>
        <w:t xml:space="preserve"> back to the judgment of the Crown Court</w:t>
      </w:r>
      <w:r w:rsidR="00C0347E">
        <w:t xml:space="preserve"> in this case</w:t>
      </w:r>
      <w:r>
        <w:t>. Although perhaps not articulated in the way that a civil law</w:t>
      </w:r>
      <w:r w:rsidR="00501F35">
        <w:t>yer</w:t>
      </w:r>
      <w:r>
        <w:t xml:space="preserve"> might do it, it was clear from the outset </w:t>
      </w:r>
      <w:r w:rsidR="00C0347E">
        <w:t xml:space="preserve">of the hearing </w:t>
      </w:r>
      <w:r w:rsidR="00501F35">
        <w:t xml:space="preserve">that </w:t>
      </w:r>
      <w:r>
        <w:t xml:space="preserve">the </w:t>
      </w:r>
      <w:r w:rsidR="00501F35">
        <w:t>judges</w:t>
      </w:r>
      <w:r>
        <w:t xml:space="preserve"> were troubled </w:t>
      </w:r>
      <w:r w:rsidR="005E6CA0">
        <w:t>as to whether they had the</w:t>
      </w:r>
      <w:r>
        <w:t xml:space="preserve"> jurisdiction to deal with the sorts of points </w:t>
      </w:r>
      <w:r w:rsidR="005631D4">
        <w:t>that were being raised</w:t>
      </w:r>
      <w:r w:rsidR="005E6CA0">
        <w:t xml:space="preserve"> on behalf of the Carters</w:t>
      </w:r>
      <w:r w:rsidR="005631D4">
        <w:t xml:space="preserve">. For the reasons given, </w:t>
      </w:r>
      <w:r w:rsidR="00DE110E">
        <w:t xml:space="preserve">I consider that </w:t>
      </w:r>
      <w:r w:rsidR="005631D4">
        <w:t>they were right to harbour those concerns</w:t>
      </w:r>
      <w:r w:rsidR="002E43F8">
        <w:t xml:space="preserve">: </w:t>
      </w:r>
      <w:r w:rsidR="005D13D5">
        <w:t>on</w:t>
      </w:r>
      <w:r w:rsidR="002E43F8">
        <w:t xml:space="preserve"> a proper analysis, this claim should n</w:t>
      </w:r>
      <w:r w:rsidR="005D13D5">
        <w:t>ot</w:t>
      </w:r>
      <w:r w:rsidR="002E43F8">
        <w:t xml:space="preserve"> have been</w:t>
      </w:r>
      <w:r w:rsidR="005D13D5">
        <w:t xml:space="preserve"> brought</w:t>
      </w:r>
      <w:r w:rsidR="002E43F8">
        <w:t xml:space="preserve"> before the</w:t>
      </w:r>
      <w:r w:rsidR="00322607">
        <w:t xml:space="preserve"> Crown Court</w:t>
      </w:r>
      <w:r w:rsidR="00BD081E">
        <w:t xml:space="preserve"> under Regulation H5(1)</w:t>
      </w:r>
      <w:r w:rsidR="002E43F8">
        <w:t xml:space="preserve">. </w:t>
      </w:r>
    </w:p>
    <w:p w14:paraId="67FFAA85" w14:textId="30A93EC9" w:rsidR="002E43F8" w:rsidRDefault="002E43F8" w:rsidP="008A5176">
      <w:pPr>
        <w:pStyle w:val="ParaLevel1"/>
        <w:numPr>
          <w:ilvl w:val="0"/>
          <w:numId w:val="0"/>
        </w:numPr>
        <w:rPr>
          <w:b/>
          <w:u w:val="single"/>
        </w:rPr>
      </w:pPr>
      <w:r>
        <w:rPr>
          <w:b/>
          <w:u w:val="single"/>
        </w:rPr>
        <w:t>6</w:t>
      </w:r>
      <w:r w:rsidRPr="002E43F8">
        <w:rPr>
          <w:b/>
          <w:u w:val="single"/>
        </w:rPr>
        <w:t xml:space="preserve"> </w:t>
      </w:r>
      <w:r>
        <w:rPr>
          <w:b/>
          <w:u w:val="single"/>
        </w:rPr>
        <w:t>The Next Steps</w:t>
      </w:r>
    </w:p>
    <w:p w14:paraId="534D705A" w14:textId="6BA9B2D4" w:rsidR="002E43F8" w:rsidRDefault="002E43F8" w:rsidP="008A5176">
      <w:pPr>
        <w:pStyle w:val="ParaLevel1"/>
        <w:numPr>
          <w:ilvl w:val="0"/>
          <w:numId w:val="13"/>
        </w:numPr>
      </w:pPr>
      <w:r>
        <w:t xml:space="preserve">It follows from the reasoning set out </w:t>
      </w:r>
      <w:r w:rsidR="00656105">
        <w:t xml:space="preserve">in </w:t>
      </w:r>
      <w:r>
        <w:t xml:space="preserve">Section 5 above that this court </w:t>
      </w:r>
      <w:r w:rsidR="00D97C97">
        <w:t xml:space="preserve">cannot </w:t>
      </w:r>
      <w:r>
        <w:t>remit th</w:t>
      </w:r>
      <w:r w:rsidR="00130074">
        <w:t>e appeal</w:t>
      </w:r>
      <w:r>
        <w:t xml:space="preserve"> to the Crown Court. The Crown Court never had the jurisdiction to deal with it in the first place.</w:t>
      </w:r>
    </w:p>
    <w:p w14:paraId="10E50528" w14:textId="7CF37D5F" w:rsidR="002E43F8" w:rsidRDefault="002E43F8" w:rsidP="008A5176">
      <w:pPr>
        <w:pStyle w:val="ParaLevel1"/>
        <w:numPr>
          <w:ilvl w:val="0"/>
          <w:numId w:val="13"/>
        </w:numPr>
      </w:pPr>
      <w:r>
        <w:t xml:space="preserve">However, </w:t>
      </w:r>
      <w:r w:rsidR="00191899">
        <w:t xml:space="preserve">as we made plain, </w:t>
      </w:r>
      <w:r>
        <w:t>we were anxious not simply to dismiss the claim and force the Carters to start all over again. This is an unusual case and we are alive to the background circumstances. In the end, following a helpful discussion with counsel, we agreed on the following solution.</w:t>
      </w:r>
      <w:r w:rsidR="001504F4">
        <w:t xml:space="preserve"> </w:t>
      </w:r>
    </w:p>
    <w:p w14:paraId="0AC1BE95" w14:textId="7C517544" w:rsidR="006A6F47" w:rsidRDefault="001504F4" w:rsidP="008A5176">
      <w:pPr>
        <w:pStyle w:val="ParaLevel1"/>
        <w:numPr>
          <w:ilvl w:val="0"/>
          <w:numId w:val="13"/>
        </w:numPr>
      </w:pPr>
      <w:r>
        <w:t xml:space="preserve">The case would be transferred to a single judge of the </w:t>
      </w:r>
      <w:r w:rsidR="00A22E08">
        <w:t>Q</w:t>
      </w:r>
      <w:r>
        <w:t>B</w:t>
      </w:r>
      <w:r w:rsidR="009F560B">
        <w:t>, to</w:t>
      </w:r>
      <w:r w:rsidR="00A22E08">
        <w:t xml:space="preserve"> be treated as if it was a claim commenced under Part 8. </w:t>
      </w:r>
      <w:r w:rsidR="00A15AAA">
        <w:t xml:space="preserve">The findings of fact </w:t>
      </w:r>
      <w:r w:rsidR="00692582">
        <w:t xml:space="preserve">in the Crown Court judgment will be </w:t>
      </w:r>
      <w:r w:rsidR="00F865AF">
        <w:t xml:space="preserve">treated as </w:t>
      </w:r>
      <w:r w:rsidR="00692582">
        <w:t xml:space="preserve">binding. </w:t>
      </w:r>
      <w:r w:rsidR="00A22E08">
        <w:t>The parties will exchange full skeleton arguments dealing not only with the law but with all matters of fact on which each side re</w:t>
      </w:r>
      <w:r w:rsidR="006A6F47">
        <w:t>ly</w:t>
      </w:r>
      <w:r w:rsidR="00D97C97">
        <w:t>, and</w:t>
      </w:r>
      <w:r w:rsidR="006A6F47">
        <w:t xml:space="preserve"> the weight to be given </w:t>
      </w:r>
      <w:r w:rsidR="00E555C9">
        <w:t xml:space="preserve">to </w:t>
      </w:r>
      <w:r w:rsidR="006A6F47">
        <w:t xml:space="preserve">such facts as are relied on. </w:t>
      </w:r>
      <w:r w:rsidR="00D97C97">
        <w:t xml:space="preserve">There </w:t>
      </w:r>
      <w:r w:rsidR="008C7CAF">
        <w:t>will</w:t>
      </w:r>
      <w:r w:rsidR="00D97C97">
        <w:t xml:space="preserve"> be a period of</w:t>
      </w:r>
      <w:r w:rsidR="006A6F47">
        <w:t xml:space="preserve"> 21 days between the service of the skeleton argument </w:t>
      </w:r>
      <w:r w:rsidR="00015DCE">
        <w:t xml:space="preserve">on behalf of Mrs Carter </w:t>
      </w:r>
      <w:r w:rsidR="006A6F47">
        <w:t>and those of the two interested parties</w:t>
      </w:r>
      <w:r w:rsidR="00E555C9">
        <w:t>,</w:t>
      </w:r>
      <w:r w:rsidR="006A6F47">
        <w:t xml:space="preserve"> who are now properly defendants</w:t>
      </w:r>
      <w:r w:rsidR="00E555C9">
        <w:t xml:space="preserve"> to Mrs </w:t>
      </w:r>
      <w:r w:rsidR="00EF3F0B">
        <w:t>C</w:t>
      </w:r>
      <w:r w:rsidR="00E555C9">
        <w:t>arter’s claim</w:t>
      </w:r>
      <w:r w:rsidR="006A6F47">
        <w:t>.</w:t>
      </w:r>
      <w:r w:rsidR="005A679F">
        <w:t xml:space="preserve"> It will be important for </w:t>
      </w:r>
      <w:r w:rsidR="001C3CA0">
        <w:t>the skeleton served on behalf of Mrs Carter to identify with precision the precise relief sought.</w:t>
      </w:r>
    </w:p>
    <w:p w14:paraId="3B2B0595" w14:textId="478FAC8D" w:rsidR="005F0347" w:rsidRDefault="006A6F47" w:rsidP="008A5176">
      <w:pPr>
        <w:pStyle w:val="ParaLevel1"/>
        <w:numPr>
          <w:ilvl w:val="0"/>
          <w:numId w:val="13"/>
        </w:numPr>
      </w:pPr>
      <w:r>
        <w:t xml:space="preserve">It was agreed that, whilst Essex Police would have the burden of most of the response to </w:t>
      </w:r>
      <w:r w:rsidR="005F0347">
        <w:t xml:space="preserve">Mrs </w:t>
      </w:r>
      <w:r>
        <w:t>Carter</w:t>
      </w:r>
      <w:r w:rsidR="005F0347">
        <w:t>’s</w:t>
      </w:r>
      <w:r>
        <w:t xml:space="preserve"> claim, the issues </w:t>
      </w:r>
      <w:r w:rsidR="00D02C0E">
        <w:t xml:space="preserve">of justification </w:t>
      </w:r>
      <w:r>
        <w:t xml:space="preserve">arising out of article 14 </w:t>
      </w:r>
      <w:r w:rsidR="00431D55">
        <w:t xml:space="preserve">and the Framework Directive </w:t>
      </w:r>
      <w:r w:rsidR="00D02C0E">
        <w:t>(</w:t>
      </w:r>
      <w:r w:rsidR="006664C7">
        <w:t>which are the same or very similar</w:t>
      </w:r>
      <w:r>
        <w:t xml:space="preserve">) would be dealt with by the Secretary of State. There would be no overlap between the two: the Secretary of State would deal </w:t>
      </w:r>
      <w:r w:rsidR="00F2330E">
        <w:t xml:space="preserve">only with </w:t>
      </w:r>
      <w:r>
        <w:t>th</w:t>
      </w:r>
      <w:r w:rsidR="006664C7">
        <w:t>e justification</w:t>
      </w:r>
      <w:r>
        <w:t xml:space="preserve"> aspect</w:t>
      </w:r>
      <w:r w:rsidR="006664C7">
        <w:t>s</w:t>
      </w:r>
      <w:r>
        <w:t xml:space="preserve"> of the claim and Essex Police would deal with all of the others. </w:t>
      </w:r>
    </w:p>
    <w:p w14:paraId="269A3644" w14:textId="5C0CB9D9" w:rsidR="001504F4" w:rsidRDefault="006A6F47" w:rsidP="008A5176">
      <w:pPr>
        <w:pStyle w:val="ParaLevel1"/>
        <w:numPr>
          <w:ilvl w:val="0"/>
          <w:numId w:val="13"/>
        </w:numPr>
      </w:pPr>
      <w:r>
        <w:t>It was agreed that one day’</w:t>
      </w:r>
      <w:r w:rsidR="00127B02">
        <w:t xml:space="preserve">s pre reading </w:t>
      </w:r>
      <w:r w:rsidR="005F0347">
        <w:t xml:space="preserve">would be specified, </w:t>
      </w:r>
      <w:r w:rsidR="00127B02">
        <w:t>and the hearing would be fixed for two days, in the hope and expectation that the actual hearing itself would be finished by lunchtime on the second day.</w:t>
      </w:r>
    </w:p>
    <w:p w14:paraId="14832977" w14:textId="0A4EA7DE" w:rsidR="00127B02" w:rsidRDefault="00127B02" w:rsidP="008A5176">
      <w:pPr>
        <w:pStyle w:val="ParaLevel1"/>
        <w:numPr>
          <w:ilvl w:val="0"/>
          <w:numId w:val="13"/>
        </w:numPr>
      </w:pPr>
      <w:r>
        <w:t xml:space="preserve">Points were raised as to costs. Insofar as </w:t>
      </w:r>
      <w:r w:rsidR="005E2EA1">
        <w:t>the parties have informally agreed to stay particular</w:t>
      </w:r>
      <w:r>
        <w:t xml:space="preserve"> arguments about the costs in the Crown Court</w:t>
      </w:r>
      <w:r w:rsidR="005E2EA1">
        <w:t xml:space="preserve">, </w:t>
      </w:r>
      <w:r>
        <w:t xml:space="preserve">that </w:t>
      </w:r>
      <w:r w:rsidR="005E2EA1">
        <w:t xml:space="preserve">informal </w:t>
      </w:r>
      <w:r>
        <w:t xml:space="preserve">stay </w:t>
      </w:r>
      <w:r w:rsidR="005E2EA1">
        <w:t>should be</w:t>
      </w:r>
      <w:r>
        <w:t xml:space="preserve"> maintained</w:t>
      </w:r>
      <w:r w:rsidR="005B4BF7">
        <w:t xml:space="preserve">. In relation to </w:t>
      </w:r>
      <w:r w:rsidR="006E6F0E">
        <w:t xml:space="preserve">certain </w:t>
      </w:r>
      <w:r w:rsidR="00ED0EDC">
        <w:t xml:space="preserve">costs </w:t>
      </w:r>
      <w:r w:rsidR="005B4BF7">
        <w:t xml:space="preserve">that </w:t>
      </w:r>
      <w:r w:rsidR="00DD2E9E">
        <w:t>a</w:t>
      </w:r>
      <w:r w:rsidR="005B4BF7">
        <w:t>re currently live</w:t>
      </w:r>
      <w:r w:rsidR="002827C9">
        <w:t xml:space="preserve"> before the Crown Court</w:t>
      </w:r>
      <w:r w:rsidR="005134C9">
        <w:t xml:space="preserve"> (which related to those aspects of the claim which were withdrawn or dismissed)</w:t>
      </w:r>
      <w:r w:rsidR="002827C9">
        <w:t>, we considered that it would be inappropriate for us to make any order</w:t>
      </w:r>
      <w:r w:rsidR="00FA275A">
        <w:t>, s</w:t>
      </w:r>
      <w:r w:rsidR="00991933">
        <w:t>ave</w:t>
      </w:r>
      <w:r w:rsidR="00FA275A">
        <w:t xml:space="preserve"> to invite the parties to inform the Crown Court of the result of the hearing on 23 May</w:t>
      </w:r>
      <w:r w:rsidR="00AE4F2B">
        <w:t xml:space="preserve"> and, if appropriate, this judgment</w:t>
      </w:r>
      <w:r w:rsidR="00FA275A">
        <w:t>.</w:t>
      </w:r>
    </w:p>
    <w:p w14:paraId="015C11C5" w14:textId="0CDF7A68" w:rsidR="006E6F0E" w:rsidRDefault="006E6F0E" w:rsidP="008A5176">
      <w:pPr>
        <w:spacing w:after="240"/>
      </w:pPr>
      <w:r>
        <w:rPr>
          <w:b/>
        </w:rPr>
        <w:t>Mr Justice Andrew Baker</w:t>
      </w:r>
      <w:r w:rsidR="001E743B">
        <w:rPr>
          <w:b/>
        </w:rPr>
        <w:t xml:space="preserve"> </w:t>
      </w:r>
      <w:r>
        <w:rPr>
          <w:b/>
        </w:rPr>
        <w:t>:</w:t>
      </w:r>
    </w:p>
    <w:p w14:paraId="73812A65" w14:textId="108813D9" w:rsidR="006E6F0E" w:rsidRDefault="001E743B" w:rsidP="008A5176">
      <w:pPr>
        <w:pStyle w:val="ParaLevel1"/>
      </w:pPr>
      <w:r>
        <w:t>I agree.</w:t>
      </w:r>
    </w:p>
    <w:p w14:paraId="7B658995" w14:textId="77777777" w:rsidR="006E6F0E" w:rsidRPr="002E43F8" w:rsidRDefault="006E6F0E" w:rsidP="008A5176">
      <w:pPr>
        <w:pStyle w:val="ParaLevel1"/>
        <w:numPr>
          <w:ilvl w:val="0"/>
          <w:numId w:val="0"/>
        </w:numPr>
        <w:ind w:left="720" w:hanging="720"/>
      </w:pPr>
    </w:p>
    <w:p w14:paraId="4382C6F3" w14:textId="77777777" w:rsidR="002E43F8" w:rsidRDefault="002E43F8" w:rsidP="008A5176">
      <w:pPr>
        <w:pStyle w:val="ParaLevel1"/>
        <w:numPr>
          <w:ilvl w:val="0"/>
          <w:numId w:val="0"/>
        </w:numPr>
        <w:ind w:left="720"/>
      </w:pPr>
    </w:p>
    <w:p w14:paraId="73AAE7AB" w14:textId="6DDFBB52" w:rsidR="007A215D" w:rsidRPr="007A215D" w:rsidRDefault="007A215D" w:rsidP="008A5176">
      <w:pPr>
        <w:pStyle w:val="ParaLevel1"/>
        <w:numPr>
          <w:ilvl w:val="0"/>
          <w:numId w:val="0"/>
        </w:numPr>
        <w:ind w:left="1134" w:right="567"/>
      </w:pPr>
    </w:p>
    <w:p w14:paraId="00C2EFE4" w14:textId="79498262" w:rsidR="00803E37" w:rsidRPr="001648BC" w:rsidRDefault="00803E37" w:rsidP="008A5176">
      <w:pPr>
        <w:pStyle w:val="ParaLevel1"/>
        <w:numPr>
          <w:ilvl w:val="0"/>
          <w:numId w:val="0"/>
        </w:numPr>
      </w:pPr>
    </w:p>
    <w:p w14:paraId="74483EFB" w14:textId="77777777" w:rsidR="001648BC" w:rsidRPr="00705E71" w:rsidRDefault="001648BC" w:rsidP="008A5176">
      <w:pPr>
        <w:pStyle w:val="ParaLevel1"/>
        <w:numPr>
          <w:ilvl w:val="0"/>
          <w:numId w:val="0"/>
        </w:numPr>
        <w:ind w:left="1134"/>
      </w:pPr>
    </w:p>
    <w:sectPr w:rsidR="001648BC" w:rsidRPr="00705E71" w:rsidSect="008A5176">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85287" w14:textId="77777777" w:rsidR="00C04B50" w:rsidRDefault="00C04B50">
      <w:r>
        <w:separator/>
      </w:r>
    </w:p>
  </w:endnote>
  <w:endnote w:type="continuationSeparator" w:id="0">
    <w:p w14:paraId="3BCDB919" w14:textId="77777777" w:rsidR="00C04B50" w:rsidRDefault="00C0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EA4C9" w14:textId="77777777" w:rsidR="006E6F0E" w:rsidRDefault="006E6F0E">
    <w:pPr>
      <w:pStyle w:val="Footer"/>
      <w:jc w:val="center"/>
      <w:rPr>
        <w:rFonts w:ascii="Times New Roman" w:hAnsi="Times New Roman"/>
        <w:sz w:val="16"/>
      </w:rPr>
    </w:pPr>
  </w:p>
  <w:p w14:paraId="3C74A091" w14:textId="3E905FC1" w:rsidR="006E6F0E" w:rsidRDefault="006E6F0E">
    <w:pPr>
      <w:pStyle w:val="Footer"/>
      <w:rPr>
        <w:rStyle w:val="PageNumber"/>
        <w:rFonts w:ascii="Times New Roman" w:hAnsi="Times New Roman"/>
        <w:sz w:val="16"/>
      </w:rPr>
    </w:pPr>
    <w:r>
      <w:rPr>
        <w:rFonts w:ascii="Times New Roman" w:hAnsi="Times New Roman"/>
        <w:sz w:val="16"/>
      </w:rPr>
      <w:t xml:space="preserve">Draft </w:t>
    </w:r>
    <w:r>
      <w:rPr>
        <w:rFonts w:ascii="Times New Roman" w:hAnsi="Times New Roman"/>
        <w:sz w:val="16"/>
      </w:rPr>
      <w:fldChar w:fldCharType="begin"/>
    </w:r>
    <w:r>
      <w:rPr>
        <w:rFonts w:ascii="Times New Roman" w:hAnsi="Times New Roman"/>
        <w:sz w:val="16"/>
      </w:rPr>
      <w:instrText xml:space="preserve">time \@ "' 'd' 'MMMM' 'yyyy" </w:instrText>
    </w:r>
    <w:r>
      <w:rPr>
        <w:rFonts w:ascii="Times New Roman" w:hAnsi="Times New Roman"/>
        <w:sz w:val="16"/>
      </w:rPr>
      <w:fldChar w:fldCharType="separate"/>
    </w:r>
    <w:r w:rsidR="00315A79">
      <w:rPr>
        <w:rFonts w:ascii="Times New Roman" w:hAnsi="Times New Roman"/>
        <w:noProof/>
        <w:sz w:val="16"/>
      </w:rPr>
      <w:t xml:space="preserve"> 13 June 2019</w:t>
    </w:r>
    <w:r>
      <w:rPr>
        <w:rFonts w:ascii="Times New Roman" w:hAnsi="Times New Roman"/>
        <w:sz w:val="16"/>
      </w:rPr>
      <w:fldChar w:fldCharType="end"/>
    </w:r>
    <w:r>
      <w:rPr>
        <w:rFonts w:ascii="Times New Roman" w:hAnsi="Times New Roman"/>
        <w:sz w:val="16"/>
      </w:rPr>
      <w:t xml:space="preserve"> </w:t>
    </w:r>
    <w:r>
      <w:rPr>
        <w:rFonts w:ascii="Times New Roman" w:hAnsi="Times New Roman"/>
        <w:sz w:val="16"/>
      </w:rPr>
      <w:fldChar w:fldCharType="begin"/>
    </w:r>
    <w:r>
      <w:rPr>
        <w:rFonts w:ascii="Times New Roman" w:hAnsi="Times New Roman"/>
        <w:sz w:val="16"/>
      </w:rPr>
      <w:instrText xml:space="preserve">time \@ "HH:mm" </w:instrText>
    </w:r>
    <w:r>
      <w:rPr>
        <w:rFonts w:ascii="Times New Roman" w:hAnsi="Times New Roman"/>
        <w:sz w:val="16"/>
      </w:rPr>
      <w:fldChar w:fldCharType="separate"/>
    </w:r>
    <w:r w:rsidR="00315A79">
      <w:rPr>
        <w:rFonts w:ascii="Times New Roman" w:hAnsi="Times New Roman"/>
        <w:noProof/>
        <w:sz w:val="16"/>
      </w:rPr>
      <w:t>16:28</w:t>
    </w:r>
    <w:r>
      <w:rPr>
        <w:rFonts w:ascii="Times New Roman" w:hAnsi="Times New Roman"/>
        <w:sz w:val="16"/>
      </w:rPr>
      <w:fldChar w:fldCharType="end"/>
    </w: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315A79">
      <w:rPr>
        <w:rFonts w:ascii="Times New Roman" w:hAnsi="Times New Roman"/>
        <w:noProof/>
        <w:sz w:val="16"/>
      </w:rPr>
      <w:t>5</w:t>
    </w:r>
    <w:r>
      <w:rPr>
        <w:rFonts w:ascii="Times New Roman" w:hAnsi="Times New Roman"/>
        <w:sz w:val="16"/>
      </w:rPr>
      <w:fldChar w:fldCharType="end"/>
    </w:r>
  </w:p>
  <w:p w14:paraId="6140A3BB" w14:textId="77777777" w:rsidR="006E6F0E" w:rsidRDefault="006E6F0E">
    <w:pPr>
      <w:pStyle w:val="Footer"/>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CE3D7" w14:textId="77777777" w:rsidR="00C04B50" w:rsidRDefault="00C04B50">
      <w:r>
        <w:separator/>
      </w:r>
    </w:p>
  </w:footnote>
  <w:footnote w:type="continuationSeparator" w:id="0">
    <w:p w14:paraId="2F72A3D0" w14:textId="77777777" w:rsidR="00C04B50" w:rsidRDefault="00C04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C439A3" w14:paraId="4C9F6141" w14:textId="77777777">
      <w:tc>
        <w:tcPr>
          <w:tcW w:w="4622" w:type="dxa"/>
        </w:tcPr>
        <w:p w14:paraId="089CC127" w14:textId="77777777" w:rsidR="008A5176" w:rsidRDefault="008A5176">
          <w:pPr>
            <w:pStyle w:val="Header"/>
            <w:rPr>
              <w:rFonts w:ascii="Times New Roman" w:hAnsi="Times New Roman"/>
              <w:b/>
              <w:sz w:val="16"/>
              <w:u w:val="single"/>
            </w:rPr>
          </w:pPr>
          <w:r>
            <w:rPr>
              <w:rFonts w:ascii="Times New Roman" w:hAnsi="Times New Roman"/>
              <w:b/>
              <w:sz w:val="16"/>
              <w:u w:val="single"/>
            </w:rPr>
            <w:t>Judgment Approved by the court for handing down</w:t>
          </w:r>
        </w:p>
        <w:p w14:paraId="368EA6B0" w14:textId="00AABB61" w:rsidR="00C439A3" w:rsidRPr="008A5176" w:rsidRDefault="008A5176">
          <w:pPr>
            <w:pStyle w:val="Header"/>
            <w:rPr>
              <w:rFonts w:ascii="Times New Roman" w:hAnsi="Times New Roman"/>
              <w:b/>
              <w:sz w:val="16"/>
              <w:u w:val="single"/>
            </w:rPr>
          </w:pPr>
          <w:r>
            <w:rPr>
              <w:rFonts w:ascii="Times New Roman" w:hAnsi="Times New Roman"/>
              <w:b/>
              <w:sz w:val="16"/>
              <w:u w:val="single"/>
            </w:rPr>
            <w:t>(subject to editorial corrections)</w:t>
          </w:r>
        </w:p>
      </w:tc>
      <w:tc>
        <w:tcPr>
          <w:tcW w:w="4622" w:type="dxa"/>
        </w:tcPr>
        <w:p w14:paraId="199D8FB9" w14:textId="77777777" w:rsidR="00C439A3" w:rsidRDefault="00C439A3">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1962EB88" w14:textId="77777777" w:rsidR="00C439A3" w:rsidRDefault="00C43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6E6F0E" w14:paraId="5E550A91" w14:textId="77777777">
      <w:tc>
        <w:tcPr>
          <w:tcW w:w="4622" w:type="dxa"/>
        </w:tcPr>
        <w:p w14:paraId="02B1A499" w14:textId="214A4AF2" w:rsidR="006E6F0E" w:rsidRPr="008A5176" w:rsidRDefault="008A5176">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40426E5" w14:textId="77777777" w:rsidR="006E6F0E" w:rsidRDefault="006E6F0E">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7F833251" w14:textId="77777777" w:rsidR="006E6F0E" w:rsidRDefault="006E6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398D037A"/>
    <w:multiLevelType w:val="hybridMultilevel"/>
    <w:tmpl w:val="086A0CAA"/>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4BBE76A3"/>
    <w:multiLevelType w:val="hybridMultilevel"/>
    <w:tmpl w:val="2604F4E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2"/>
  </w:num>
  <w:num w:numId="12">
    <w:abstractNumId w:val="1"/>
  </w:num>
  <w:num w:numId="13">
    <w:abstractNumId w:val="3"/>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FC"/>
    <w:rsid w:val="0000575E"/>
    <w:rsid w:val="00014A72"/>
    <w:rsid w:val="00015DCE"/>
    <w:rsid w:val="000179C5"/>
    <w:rsid w:val="00034E2F"/>
    <w:rsid w:val="00042D50"/>
    <w:rsid w:val="00046BE8"/>
    <w:rsid w:val="00051DDD"/>
    <w:rsid w:val="00062B39"/>
    <w:rsid w:val="00070344"/>
    <w:rsid w:val="00084F24"/>
    <w:rsid w:val="000901B4"/>
    <w:rsid w:val="000A2110"/>
    <w:rsid w:val="000A5F80"/>
    <w:rsid w:val="000B73E2"/>
    <w:rsid w:val="000C064A"/>
    <w:rsid w:val="000C1AD8"/>
    <w:rsid w:val="000D163A"/>
    <w:rsid w:val="000E4529"/>
    <w:rsid w:val="000F1468"/>
    <w:rsid w:val="000F1EC5"/>
    <w:rsid w:val="000F4349"/>
    <w:rsid w:val="000F47E3"/>
    <w:rsid w:val="00103B7D"/>
    <w:rsid w:val="001069B8"/>
    <w:rsid w:val="00114250"/>
    <w:rsid w:val="00125A69"/>
    <w:rsid w:val="00125DE1"/>
    <w:rsid w:val="0012773F"/>
    <w:rsid w:val="00127B02"/>
    <w:rsid w:val="00130074"/>
    <w:rsid w:val="0014093F"/>
    <w:rsid w:val="00144CE5"/>
    <w:rsid w:val="00147093"/>
    <w:rsid w:val="001504F4"/>
    <w:rsid w:val="00150758"/>
    <w:rsid w:val="00150BC5"/>
    <w:rsid w:val="00161FDF"/>
    <w:rsid w:val="001648BC"/>
    <w:rsid w:val="00172390"/>
    <w:rsid w:val="001734E2"/>
    <w:rsid w:val="00174F18"/>
    <w:rsid w:val="00186A5E"/>
    <w:rsid w:val="00191899"/>
    <w:rsid w:val="001B7A23"/>
    <w:rsid w:val="001C1BD7"/>
    <w:rsid w:val="001C3CA0"/>
    <w:rsid w:val="001D27F1"/>
    <w:rsid w:val="001D4153"/>
    <w:rsid w:val="001D56FA"/>
    <w:rsid w:val="001E12EA"/>
    <w:rsid w:val="001E35D9"/>
    <w:rsid w:val="001E743B"/>
    <w:rsid w:val="001F38AA"/>
    <w:rsid w:val="001F3CCA"/>
    <w:rsid w:val="001F4662"/>
    <w:rsid w:val="00231B13"/>
    <w:rsid w:val="0026421C"/>
    <w:rsid w:val="00274FFA"/>
    <w:rsid w:val="002827C9"/>
    <w:rsid w:val="0029024E"/>
    <w:rsid w:val="002916CA"/>
    <w:rsid w:val="00297C30"/>
    <w:rsid w:val="002A54FC"/>
    <w:rsid w:val="002B1BEF"/>
    <w:rsid w:val="002B3518"/>
    <w:rsid w:val="002C5519"/>
    <w:rsid w:val="002E43F8"/>
    <w:rsid w:val="002F52B6"/>
    <w:rsid w:val="003104F4"/>
    <w:rsid w:val="00315A79"/>
    <w:rsid w:val="00315D3A"/>
    <w:rsid w:val="00317BCF"/>
    <w:rsid w:val="00322607"/>
    <w:rsid w:val="00326E76"/>
    <w:rsid w:val="00340E72"/>
    <w:rsid w:val="0035555C"/>
    <w:rsid w:val="00365222"/>
    <w:rsid w:val="00367A4C"/>
    <w:rsid w:val="00370CFD"/>
    <w:rsid w:val="00374636"/>
    <w:rsid w:val="00386652"/>
    <w:rsid w:val="00387B50"/>
    <w:rsid w:val="003B31CB"/>
    <w:rsid w:val="003D7F0F"/>
    <w:rsid w:val="003E1D4E"/>
    <w:rsid w:val="003F5594"/>
    <w:rsid w:val="00400572"/>
    <w:rsid w:val="00405E9F"/>
    <w:rsid w:val="004130B5"/>
    <w:rsid w:val="004238AB"/>
    <w:rsid w:val="00431D55"/>
    <w:rsid w:val="00441419"/>
    <w:rsid w:val="00446740"/>
    <w:rsid w:val="004546C8"/>
    <w:rsid w:val="00457470"/>
    <w:rsid w:val="00484B18"/>
    <w:rsid w:val="00485262"/>
    <w:rsid w:val="00486DCF"/>
    <w:rsid w:val="00491910"/>
    <w:rsid w:val="004A26A5"/>
    <w:rsid w:val="004B15FC"/>
    <w:rsid w:val="004C21D1"/>
    <w:rsid w:val="004C5449"/>
    <w:rsid w:val="004F2FF4"/>
    <w:rsid w:val="00501F35"/>
    <w:rsid w:val="00503DFC"/>
    <w:rsid w:val="005042A4"/>
    <w:rsid w:val="00510A59"/>
    <w:rsid w:val="005134C9"/>
    <w:rsid w:val="005136EB"/>
    <w:rsid w:val="00540F08"/>
    <w:rsid w:val="00554856"/>
    <w:rsid w:val="005631D4"/>
    <w:rsid w:val="005717AC"/>
    <w:rsid w:val="00577095"/>
    <w:rsid w:val="005A679F"/>
    <w:rsid w:val="005B4BF7"/>
    <w:rsid w:val="005B6437"/>
    <w:rsid w:val="005B6605"/>
    <w:rsid w:val="005B6A68"/>
    <w:rsid w:val="005C7B50"/>
    <w:rsid w:val="005D13D5"/>
    <w:rsid w:val="005D4AE0"/>
    <w:rsid w:val="005D76B4"/>
    <w:rsid w:val="005E0C3A"/>
    <w:rsid w:val="005E2EA1"/>
    <w:rsid w:val="005E6CA0"/>
    <w:rsid w:val="005E7912"/>
    <w:rsid w:val="005F0347"/>
    <w:rsid w:val="005F4885"/>
    <w:rsid w:val="00600AE5"/>
    <w:rsid w:val="00617B98"/>
    <w:rsid w:val="00621C44"/>
    <w:rsid w:val="00625F73"/>
    <w:rsid w:val="006357A8"/>
    <w:rsid w:val="00640440"/>
    <w:rsid w:val="00655BAB"/>
    <w:rsid w:val="00656105"/>
    <w:rsid w:val="006610E8"/>
    <w:rsid w:val="00662BDF"/>
    <w:rsid w:val="00663B7C"/>
    <w:rsid w:val="006664C7"/>
    <w:rsid w:val="00672CBE"/>
    <w:rsid w:val="00680A52"/>
    <w:rsid w:val="00683EF2"/>
    <w:rsid w:val="00686109"/>
    <w:rsid w:val="00692582"/>
    <w:rsid w:val="006A6F47"/>
    <w:rsid w:val="006B5514"/>
    <w:rsid w:val="006C10A0"/>
    <w:rsid w:val="006C3D2F"/>
    <w:rsid w:val="006D27CC"/>
    <w:rsid w:val="006E6F0E"/>
    <w:rsid w:val="006E7223"/>
    <w:rsid w:val="00705E71"/>
    <w:rsid w:val="00710E7E"/>
    <w:rsid w:val="00717D5F"/>
    <w:rsid w:val="00722237"/>
    <w:rsid w:val="00745383"/>
    <w:rsid w:val="00752BCA"/>
    <w:rsid w:val="00777501"/>
    <w:rsid w:val="007846CF"/>
    <w:rsid w:val="00792390"/>
    <w:rsid w:val="007A215D"/>
    <w:rsid w:val="007E69AD"/>
    <w:rsid w:val="007F7712"/>
    <w:rsid w:val="00801AF4"/>
    <w:rsid w:val="00803E37"/>
    <w:rsid w:val="00823B55"/>
    <w:rsid w:val="0083674C"/>
    <w:rsid w:val="00842774"/>
    <w:rsid w:val="00850412"/>
    <w:rsid w:val="00852FCE"/>
    <w:rsid w:val="00876BAE"/>
    <w:rsid w:val="00877F11"/>
    <w:rsid w:val="008845D9"/>
    <w:rsid w:val="00893344"/>
    <w:rsid w:val="00895475"/>
    <w:rsid w:val="008A1241"/>
    <w:rsid w:val="008A5176"/>
    <w:rsid w:val="008C07A0"/>
    <w:rsid w:val="008C7CAF"/>
    <w:rsid w:val="008D540F"/>
    <w:rsid w:val="009004E1"/>
    <w:rsid w:val="00905987"/>
    <w:rsid w:val="00913073"/>
    <w:rsid w:val="00922B78"/>
    <w:rsid w:val="00932DD3"/>
    <w:rsid w:val="009441EF"/>
    <w:rsid w:val="009558E1"/>
    <w:rsid w:val="00971750"/>
    <w:rsid w:val="009772B0"/>
    <w:rsid w:val="00983853"/>
    <w:rsid w:val="00991933"/>
    <w:rsid w:val="0099435D"/>
    <w:rsid w:val="009A0A32"/>
    <w:rsid w:val="009A1238"/>
    <w:rsid w:val="009C04BF"/>
    <w:rsid w:val="009D78C8"/>
    <w:rsid w:val="009E1C75"/>
    <w:rsid w:val="009E32EB"/>
    <w:rsid w:val="009F560B"/>
    <w:rsid w:val="00A010F6"/>
    <w:rsid w:val="00A01AEB"/>
    <w:rsid w:val="00A0268B"/>
    <w:rsid w:val="00A07559"/>
    <w:rsid w:val="00A15AAA"/>
    <w:rsid w:val="00A21CA8"/>
    <w:rsid w:val="00A22E08"/>
    <w:rsid w:val="00A45F4E"/>
    <w:rsid w:val="00A50267"/>
    <w:rsid w:val="00A57391"/>
    <w:rsid w:val="00A57D62"/>
    <w:rsid w:val="00A64C63"/>
    <w:rsid w:val="00A866BF"/>
    <w:rsid w:val="00A9254F"/>
    <w:rsid w:val="00AA7813"/>
    <w:rsid w:val="00AD441B"/>
    <w:rsid w:val="00AE4F2B"/>
    <w:rsid w:val="00B159F8"/>
    <w:rsid w:val="00B15F15"/>
    <w:rsid w:val="00B210CD"/>
    <w:rsid w:val="00B35AE3"/>
    <w:rsid w:val="00B37DF1"/>
    <w:rsid w:val="00B37F23"/>
    <w:rsid w:val="00B57245"/>
    <w:rsid w:val="00B61A93"/>
    <w:rsid w:val="00B7122C"/>
    <w:rsid w:val="00B75F8D"/>
    <w:rsid w:val="00B82921"/>
    <w:rsid w:val="00B9744D"/>
    <w:rsid w:val="00BB423E"/>
    <w:rsid w:val="00BC0307"/>
    <w:rsid w:val="00BC1088"/>
    <w:rsid w:val="00BC3DB9"/>
    <w:rsid w:val="00BD081E"/>
    <w:rsid w:val="00BD32A9"/>
    <w:rsid w:val="00BE6E37"/>
    <w:rsid w:val="00C0347E"/>
    <w:rsid w:val="00C04B50"/>
    <w:rsid w:val="00C22CB7"/>
    <w:rsid w:val="00C315F0"/>
    <w:rsid w:val="00C360B4"/>
    <w:rsid w:val="00C439A3"/>
    <w:rsid w:val="00C55735"/>
    <w:rsid w:val="00C62088"/>
    <w:rsid w:val="00C83243"/>
    <w:rsid w:val="00CB1ECE"/>
    <w:rsid w:val="00CD23CA"/>
    <w:rsid w:val="00CE3806"/>
    <w:rsid w:val="00D02C0E"/>
    <w:rsid w:val="00D0394A"/>
    <w:rsid w:val="00D15814"/>
    <w:rsid w:val="00D17747"/>
    <w:rsid w:val="00D73645"/>
    <w:rsid w:val="00D869D9"/>
    <w:rsid w:val="00D97C97"/>
    <w:rsid w:val="00DA18A8"/>
    <w:rsid w:val="00DB10F6"/>
    <w:rsid w:val="00DB58A6"/>
    <w:rsid w:val="00DC6837"/>
    <w:rsid w:val="00DD2E9E"/>
    <w:rsid w:val="00DE110E"/>
    <w:rsid w:val="00DE2CA4"/>
    <w:rsid w:val="00E33DF4"/>
    <w:rsid w:val="00E37B57"/>
    <w:rsid w:val="00E437A3"/>
    <w:rsid w:val="00E555C9"/>
    <w:rsid w:val="00E84572"/>
    <w:rsid w:val="00E97C57"/>
    <w:rsid w:val="00EC3C75"/>
    <w:rsid w:val="00EC57AA"/>
    <w:rsid w:val="00EC72EE"/>
    <w:rsid w:val="00ED0EDC"/>
    <w:rsid w:val="00ED20FA"/>
    <w:rsid w:val="00EE16E0"/>
    <w:rsid w:val="00EE1A29"/>
    <w:rsid w:val="00EE3543"/>
    <w:rsid w:val="00EF20FA"/>
    <w:rsid w:val="00EF3F0B"/>
    <w:rsid w:val="00EF6BE2"/>
    <w:rsid w:val="00F12D99"/>
    <w:rsid w:val="00F2330E"/>
    <w:rsid w:val="00F23E3C"/>
    <w:rsid w:val="00F32A40"/>
    <w:rsid w:val="00F4241E"/>
    <w:rsid w:val="00F47E55"/>
    <w:rsid w:val="00F62EFD"/>
    <w:rsid w:val="00F822DA"/>
    <w:rsid w:val="00F865AF"/>
    <w:rsid w:val="00F94886"/>
    <w:rsid w:val="00F96732"/>
    <w:rsid w:val="00FA275A"/>
    <w:rsid w:val="00FA4809"/>
    <w:rsid w:val="00FB5815"/>
    <w:rsid w:val="00FC3F2C"/>
    <w:rsid w:val="00FE6EBB"/>
    <w:rsid w:val="34DACF98"/>
    <w:rsid w:val="3EEE8F1D"/>
    <w:rsid w:val="6E1F9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F0163"/>
  <w15:chartTrackingRefBased/>
  <w15:docId w15:val="{36EF4B86-1B13-49B5-9A16-6B019D29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Strong">
    <w:name w:val="Strong"/>
    <w:qFormat/>
    <w:rsid w:val="00B75F8D"/>
    <w:rPr>
      <w:b/>
      <w:bCs/>
    </w:rPr>
  </w:style>
  <w:style w:type="paragraph" w:styleId="BalloonText">
    <w:name w:val="Balloon Text"/>
    <w:basedOn w:val="Normal"/>
    <w:link w:val="BalloonTextChar"/>
    <w:semiHidden/>
    <w:unhideWhenUsed/>
    <w:rsid w:val="00510A59"/>
    <w:rPr>
      <w:rFonts w:ascii="Segoe UI" w:hAnsi="Segoe UI" w:cs="Segoe UI"/>
      <w:sz w:val="18"/>
      <w:szCs w:val="18"/>
    </w:rPr>
  </w:style>
  <w:style w:type="character" w:customStyle="1" w:styleId="BalloonTextChar">
    <w:name w:val="Balloon Text Char"/>
    <w:link w:val="BalloonText"/>
    <w:semiHidden/>
    <w:rsid w:val="00510A5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8B917-60B4-4BE1-A6B6-81A15E6C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19B43FC7</Template>
  <TotalTime>1</TotalTime>
  <Pages>7</Pages>
  <Words>3092</Words>
  <Characters>14076</Characters>
  <Application>Microsoft Office Word</Application>
  <DocSecurity>4</DocSecurity>
  <Lines>117</Lines>
  <Paragraphs>34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Davidson, Linda</dc:creator>
  <cp:keywords/>
  <dc:description/>
  <cp:lastModifiedBy>Helen Gerlach</cp:lastModifiedBy>
  <cp:revision>2</cp:revision>
  <cp:lastPrinted>2019-06-12T14:25:00Z</cp:lastPrinted>
  <dcterms:created xsi:type="dcterms:W3CDTF">2019-06-13T15:29:00Z</dcterms:created>
  <dcterms:modified xsi:type="dcterms:W3CDTF">2019-06-13T15:29:00Z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CO/491/2019</vt:lpwstr>
  </property>
  <property fmtid="{D5CDD505-2E9C-101B-9397-08002B2CF9AE}" pid="9" name="NCJudge">
    <vt:lpwstr>LORD JUSTICE COULSON:</vt:lpwstr>
  </property>
  <property fmtid="{D5CDD505-2E9C-101B-9397-08002B2CF9AE}" pid="10" name="NCJudgeDate">
    <vt:lpwstr>13/06/2019</vt:lpwstr>
  </property>
</Properties>
</file>